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fonts/font29.odttf" ContentType="application/vnd.openxmlformats-officedocument.obfuscatedFont"/>
  <Override PartName="/word/fonts/font30.odttf" ContentType="application/vnd.openxmlformats-officedocument.obfuscatedFont"/>
  <Override PartName="/word/fonts/font31.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footer3.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tabs>
          <w:tab w:val="clear" w:pos="720"/>
          <w:tab w:val="left" w:pos="3390" w:leader="none"/>
          <w:tab w:val="center" w:pos="5032" w:leader="none"/>
        </w:tabs>
        <w:spacing w:lineRule="auto" w:line="240"/>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jc w:val="center"/>
        <w:rPr>
          <w:rFonts w:ascii="Verdana" w:hAnsi="Verdana"/>
          <w:sz w:val="20"/>
          <w:szCs w:val="20"/>
        </w:rPr>
      </w:pPr>
      <w:r>
        <w:rPr>
          <w:rFonts w:ascii="Verdana" w:hAnsi="Verdana"/>
          <w:b/>
          <w:sz w:val="20"/>
          <w:szCs w:val="20"/>
          <w:u w:val="single"/>
        </w:rPr>
        <w:t>ESTUDO TÉCNICO PRELIMINAR</w:t>
      </w:r>
    </w:p>
    <w:p>
      <w:pPr>
        <w:pStyle w:val="Normal"/>
        <w:tabs>
          <w:tab w:val="clear" w:pos="720"/>
          <w:tab w:val="left" w:pos="3390" w:leader="none"/>
          <w:tab w:val="center" w:pos="5032" w:leader="none"/>
        </w:tabs>
        <w:spacing w:lineRule="auto" w:line="240"/>
        <w:jc w:val="center"/>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rPr>
          <w:rFonts w:ascii="Verdana" w:hAnsi="Verdana"/>
          <w:sz w:val="20"/>
          <w:szCs w:val="20"/>
        </w:rPr>
      </w:pPr>
      <w:r>
        <w:rPr>
          <w:rFonts w:ascii="Verdana" w:hAnsi="Verdana"/>
          <w:b/>
          <w:sz w:val="20"/>
          <w:szCs w:val="20"/>
        </w:rPr>
        <w:t>1. INFORMAÇÕES BÁSICAS</w:t>
      </w:r>
    </w:p>
    <w:p>
      <w:pPr>
        <w:pStyle w:val="Normal"/>
        <w:pBdr/>
        <w:tabs>
          <w:tab w:val="clear" w:pos="720"/>
          <w:tab w:val="left" w:pos="3390" w:leader="none"/>
          <w:tab w:val="center" w:pos="5032" w:leader="none"/>
        </w:tabs>
        <w:spacing w:lineRule="auto" w:line="240"/>
        <w:rPr>
          <w:rFonts w:ascii="Verdana" w:hAnsi="Verdana"/>
          <w:sz w:val="20"/>
          <w:szCs w:val="20"/>
        </w:rPr>
      </w:pPr>
      <w:r>
        <w:rPr>
          <w:rFonts w:ascii="Verdana" w:hAnsi="Verdana"/>
          <w:b/>
          <w:color w:val="000000"/>
          <w:sz w:val="20"/>
          <w:szCs w:val="20"/>
        </w:rPr>
        <w:t xml:space="preserve">1.1. Processo Administrativo nº ___/2026. </w:t>
      </w:r>
    </w:p>
    <w:p>
      <w:pPr>
        <w:pStyle w:val="Normal"/>
        <w:pBdr/>
        <w:tabs>
          <w:tab w:val="clear" w:pos="720"/>
          <w:tab w:val="left" w:pos="3390" w:leader="none"/>
          <w:tab w:val="center" w:pos="5032" w:leader="none"/>
        </w:tabs>
        <w:spacing w:lineRule="auto" w:line="240"/>
        <w:ind w:left="720"/>
        <w:rPr>
          <w:rFonts w:ascii="Verdana" w:hAnsi="Verdana" w:eastAsia="Calibri" w:cs="Calibri"/>
          <w:b/>
          <w:color w:val="000000"/>
          <w:sz w:val="20"/>
          <w:szCs w:val="20"/>
        </w:rPr>
      </w:pPr>
      <w:r>
        <w:rPr>
          <w:rFonts w:eastAsia="Calibri" w:cs="Calibri" w:ascii="Verdana" w:hAnsi="Verdana"/>
          <w:b/>
          <w:color w:val="000000"/>
          <w:sz w:val="20"/>
          <w:szCs w:val="20"/>
        </w:rPr>
      </w:r>
    </w:p>
    <w:p>
      <w:pPr>
        <w:pStyle w:val="Normal"/>
        <w:spacing w:lineRule="auto" w:line="240"/>
        <w:jc w:val="both"/>
        <w:rPr>
          <w:rFonts w:ascii="Verdana" w:hAnsi="Verdana"/>
          <w:sz w:val="20"/>
          <w:szCs w:val="20"/>
        </w:rPr>
      </w:pPr>
      <w:r>
        <w:rPr>
          <w:rFonts w:ascii="Verdana" w:hAnsi="Verdana"/>
          <w:b/>
          <w:bCs/>
          <w:sz w:val="20"/>
          <w:szCs w:val="20"/>
        </w:rPr>
        <w:t>Aquisição de caixa de som portátil para premiação dos estudantes destaque da Rede Municipal de Ensino e tendas para atender a Secretaria de Educação e as escolas da rede municipal de ensino.</w:t>
      </w:r>
    </w:p>
    <w:p>
      <w:pPr>
        <w:pStyle w:val="Normal"/>
        <w:pBdr/>
        <w:tabs>
          <w:tab w:val="clear" w:pos="720"/>
          <w:tab w:val="left" w:pos="3390" w:leader="none"/>
          <w:tab w:val="center" w:pos="5032" w:leader="none"/>
        </w:tabs>
        <w:spacing w:lineRule="auto" w:line="240"/>
        <w:rPr>
          <w:rFonts w:ascii="Verdana" w:hAnsi="Verdana"/>
          <w:b/>
          <w:color w:val="000000"/>
          <w:sz w:val="20"/>
          <w:szCs w:val="20"/>
        </w:rPr>
      </w:pPr>
      <w:r>
        <w:rPr>
          <w:rFonts w:ascii="Verdana" w:hAnsi="Verdana"/>
          <w:b/>
          <w:color w:val="000000"/>
          <w:sz w:val="20"/>
          <w:szCs w:val="20"/>
        </w:rPr>
      </w:r>
    </w:p>
    <w:p>
      <w:pPr>
        <w:pStyle w:val="Normal"/>
        <w:pBdr/>
        <w:tabs>
          <w:tab w:val="clear" w:pos="720"/>
          <w:tab w:val="left" w:pos="3390" w:leader="none"/>
          <w:tab w:val="center" w:pos="5032" w:leader="none"/>
        </w:tabs>
        <w:spacing w:lineRule="auto" w:line="240"/>
        <w:jc w:val="both"/>
        <w:rPr>
          <w:rFonts w:ascii="Verdana" w:hAnsi="Verdana"/>
          <w:sz w:val="20"/>
          <w:szCs w:val="20"/>
        </w:rPr>
      </w:pPr>
      <w:r>
        <w:rPr>
          <w:rFonts w:ascii="Verdana" w:hAnsi="Verdana"/>
          <w:color w:val="000000"/>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Normal"/>
        <w:pBdr/>
        <w:tabs>
          <w:tab w:val="clear" w:pos="720"/>
          <w:tab w:val="left" w:pos="3390" w:leader="none"/>
          <w:tab w:val="center" w:pos="5032" w:leader="none"/>
        </w:tabs>
        <w:spacing w:lineRule="auto" w:line="240"/>
        <w:jc w:val="both"/>
        <w:rPr>
          <w:rFonts w:ascii="Verdana" w:hAnsi="Verdana"/>
          <w:color w:val="000000"/>
          <w:sz w:val="20"/>
          <w:szCs w:val="20"/>
        </w:rPr>
      </w:pPr>
      <w:r>
        <w:rPr>
          <w:rFonts w:ascii="Verdana" w:hAnsi="Verdana"/>
          <w:color w:val="000000"/>
          <w:sz w:val="20"/>
          <w:szCs w:val="20"/>
        </w:rPr>
      </w:r>
    </w:p>
    <w:p>
      <w:pPr>
        <w:pStyle w:val="Normal"/>
        <w:spacing w:lineRule="auto" w:line="240"/>
        <w:jc w:val="both"/>
        <w:rPr>
          <w:rFonts w:ascii="Verdana" w:hAnsi="Verdana"/>
          <w:sz w:val="20"/>
          <w:szCs w:val="20"/>
        </w:rPr>
      </w:pPr>
      <w:r>
        <w:rPr>
          <w:rFonts w:ascii="Verdana" w:hAnsi="Verdana"/>
          <w:b/>
          <w:sz w:val="20"/>
          <w:szCs w:val="20"/>
        </w:rPr>
        <w:t xml:space="preserve">2. LOCAL DE ENTREGA </w:t>
      </w:r>
    </w:p>
    <w:p>
      <w:pPr>
        <w:pStyle w:val="Normal"/>
        <w:spacing w:lineRule="auto" w:line="240"/>
        <w:jc w:val="both"/>
        <w:rPr>
          <w:rFonts w:ascii="Verdana" w:hAnsi="Verdana"/>
          <w:sz w:val="20"/>
          <w:szCs w:val="20"/>
        </w:rPr>
      </w:pPr>
      <w:r>
        <w:rPr>
          <w:rFonts w:ascii="Verdana" w:hAnsi="Verdana"/>
          <w:b/>
          <w:sz w:val="20"/>
          <w:szCs w:val="20"/>
        </w:rPr>
        <w:t xml:space="preserve">2.1 </w:t>
      </w:r>
      <w:r>
        <w:rPr>
          <w:rFonts w:ascii="Verdana" w:hAnsi="Verdana"/>
          <w:sz w:val="20"/>
          <w:szCs w:val="20"/>
        </w:rPr>
        <w:t>A entrega deverá ser realizada na sede da EMEF Irmã Adelaide Bertocchi – Polivalente (aos cuidados do diretor ou outro responsável que está secretaria irá designar, ou em endereço indicado na Ordem de Fornecimento,</w:t>
      </w:r>
      <w:r>
        <w:rPr>
          <w:rFonts w:ascii="Verdana" w:hAnsi="Verdana"/>
          <w:b/>
          <w:bCs/>
          <w:sz w:val="20"/>
          <w:szCs w:val="20"/>
        </w:rPr>
        <w:t xml:space="preserve"> no prazo máximo de 45 dias corridos após a emissão de Autorização de Fornecimento.</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3. CONTATO</w:t>
      </w:r>
    </w:p>
    <w:p>
      <w:pPr>
        <w:pStyle w:val="Normal"/>
        <w:spacing w:lineRule="auto" w:line="240"/>
        <w:jc w:val="both"/>
        <w:rPr>
          <w:rFonts w:ascii="Verdana" w:hAnsi="Verdana"/>
          <w:sz w:val="20"/>
          <w:szCs w:val="20"/>
        </w:rPr>
      </w:pPr>
      <w:r>
        <w:rPr>
          <w:rFonts w:ascii="Verdana" w:hAnsi="Verdana"/>
          <w:b/>
          <w:sz w:val="20"/>
          <w:szCs w:val="20"/>
        </w:rPr>
        <w:t>Tel: 27 99574-4758</w:t>
      </w:r>
    </w:p>
    <w:p>
      <w:pPr>
        <w:pStyle w:val="Normal"/>
        <w:spacing w:lineRule="auto" w:line="240"/>
        <w:jc w:val="both"/>
        <w:rPr>
          <w:rFonts w:ascii="Verdana" w:hAnsi="Verdana"/>
          <w:sz w:val="20"/>
          <w:szCs w:val="20"/>
        </w:rPr>
      </w:pPr>
      <w:r>
        <w:rPr>
          <w:rFonts w:ascii="Verdana" w:hAnsi="Verdana"/>
          <w:b/>
          <w:sz w:val="20"/>
          <w:szCs w:val="20"/>
        </w:rPr>
        <w:t xml:space="preserve">Email: </w:t>
      </w:r>
      <w:r>
        <w:rPr>
          <w:rFonts w:eastAsia="Roboto" w:cs="Roboto" w:ascii="Verdana" w:hAnsi="Verdana"/>
          <w:b/>
          <w:color w:val="1F1F1F"/>
          <w:sz w:val="20"/>
          <w:szCs w:val="20"/>
          <w:shd w:fill="E9EEF6" w:val="clear"/>
        </w:rPr>
        <w:t>financeirosemecsgp@gmail.com</w:t>
      </w:r>
    </w:p>
    <w:p>
      <w:pPr>
        <w:pStyle w:val="Normal"/>
        <w:spacing w:lineRule="auto" w:line="240"/>
        <w:jc w:val="both"/>
        <w:rPr>
          <w:rFonts w:ascii="Verdana" w:hAnsi="Verdana"/>
          <w:sz w:val="20"/>
          <w:szCs w:val="20"/>
        </w:rPr>
      </w:pPr>
      <w:r>
        <w:rPr>
          <w:rFonts w:ascii="Verdana" w:hAnsi="Verdana"/>
          <w:b/>
          <w:sz w:val="20"/>
          <w:szCs w:val="20"/>
        </w:rPr>
        <w:t xml:space="preserve">Responsável: </w:t>
      </w:r>
      <w:r>
        <w:rPr>
          <w:rFonts w:ascii="Verdana" w:hAnsi="Verdana"/>
          <w:sz w:val="20"/>
          <w:szCs w:val="20"/>
        </w:rPr>
        <w:t>Secretaria Municipal de Educação</w:t>
      </w:r>
    </w:p>
    <w:p>
      <w:pPr>
        <w:pStyle w:val="Normal"/>
        <w:spacing w:lineRule="auto" w:line="240"/>
        <w:jc w:val="both"/>
        <w:rPr>
          <w:rFonts w:ascii="Verdana" w:hAnsi="Verdana"/>
          <w:b/>
          <w:sz w:val="20"/>
          <w:szCs w:val="20"/>
        </w:rPr>
      </w:pPr>
      <w:r>
        <w:rPr>
          <w:rFonts w:ascii="Verdana" w:hAnsi="Verdana"/>
          <w:b/>
          <w:sz w:val="20"/>
          <w:szCs w:val="20"/>
        </w:rPr>
      </w:r>
    </w:p>
    <w:p>
      <w:pPr>
        <w:pStyle w:val="Normal"/>
        <w:shd w:val="clear" w:color="auto" w:fill="FFFFFF"/>
        <w:spacing w:lineRule="auto" w:line="240"/>
        <w:jc w:val="both"/>
        <w:rPr>
          <w:rFonts w:ascii="Verdana" w:hAnsi="Verdana"/>
          <w:sz w:val="20"/>
          <w:szCs w:val="20"/>
        </w:rPr>
      </w:pPr>
      <w:r>
        <w:rPr>
          <w:rFonts w:ascii="Verdana" w:hAnsi="Verdana"/>
          <w:b/>
          <w:color w:val="000000"/>
          <w:sz w:val="20"/>
          <w:szCs w:val="20"/>
        </w:rPr>
        <w:t>4. PREVISÃO NO PLANO DE CONTRATAÇÕES ANUAL</w:t>
      </w:r>
    </w:p>
    <w:p>
      <w:pPr>
        <w:pStyle w:val="Normal"/>
        <w:spacing w:lineRule="auto" w:line="240"/>
        <w:jc w:val="both"/>
        <w:rPr>
          <w:rFonts w:ascii="Verdana" w:hAnsi="Verdana"/>
          <w:sz w:val="20"/>
          <w:szCs w:val="20"/>
        </w:rPr>
      </w:pPr>
      <w:r>
        <w:rPr>
          <w:rFonts w:ascii="Verdana" w:hAnsi="Verdana"/>
          <w:b/>
          <w:sz w:val="20"/>
          <w:szCs w:val="20"/>
        </w:rPr>
        <w:t xml:space="preserve">4.1. </w:t>
      </w:r>
      <w:r>
        <w:rPr>
          <w:rFonts w:ascii="Verdana" w:hAnsi="Verdana"/>
          <w:sz w:val="20"/>
          <w:szCs w:val="20"/>
        </w:rPr>
        <w:t>A contratação pretendida tem consonância com o planejamento estratégico desta Instituição, uma vez que consta na sua programação orçamentária e financeira anual.</w:t>
      </w:r>
    </w:p>
    <w:p>
      <w:pPr>
        <w:pStyle w:val="Normal"/>
        <w:spacing w:lineRule="auto" w:line="240"/>
        <w:jc w:val="both"/>
        <w:rPr>
          <w:rFonts w:ascii="Verdana" w:hAnsi="Verdana"/>
          <w:sz w:val="20"/>
          <w:szCs w:val="20"/>
        </w:rPr>
      </w:pPr>
      <w:r>
        <w:rPr>
          <w:rFonts w:ascii="Verdana" w:hAnsi="Verdana"/>
          <w:b/>
          <w:sz w:val="20"/>
          <w:szCs w:val="20"/>
          <w:highlight w:val="white"/>
        </w:rPr>
        <w:t>4.2.</w:t>
      </w:r>
      <w:r>
        <w:rPr>
          <w:rFonts w:ascii="Verdana" w:hAnsi="Verdana"/>
          <w:sz w:val="20"/>
          <w:szCs w:val="20"/>
          <w:highlight w:val="white"/>
        </w:rPr>
        <w:t xml:space="preserve"> Foi produzido documento de formalização de demanda, sob o </w:t>
      </w:r>
      <w:r>
        <w:rPr>
          <w:rFonts w:ascii="Verdana" w:hAnsi="Verdana"/>
          <w:b/>
          <w:bCs/>
          <w:sz w:val="20"/>
          <w:szCs w:val="20"/>
        </w:rPr>
        <w:t>número 17</w:t>
      </w:r>
      <w:r>
        <w:rPr>
          <w:rFonts w:ascii="Verdana" w:hAnsi="Verdana"/>
          <w:sz w:val="20"/>
          <w:szCs w:val="20"/>
        </w:rPr>
        <w:t xml:space="preserve">, </w:t>
      </w:r>
      <w:r>
        <w:rPr>
          <w:rFonts w:ascii="Verdana" w:hAnsi="Verdana"/>
          <w:sz w:val="20"/>
          <w:szCs w:val="20"/>
          <w:highlight w:val="white"/>
        </w:rPr>
        <w:t xml:space="preserve">que solicita </w:t>
      </w:r>
      <w:r>
        <w:rPr>
          <w:rFonts w:ascii="Verdana" w:hAnsi="Verdana"/>
          <w:sz w:val="20"/>
          <w:szCs w:val="20"/>
        </w:rPr>
        <w:t>aquisição dos equipamentos para atender a Secretaria de Educação e as escolas da rede municipal de ensino.</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5. DESCRIÇÃO DA NECESSIDADE</w:t>
      </w:r>
    </w:p>
    <w:p>
      <w:pPr>
        <w:pStyle w:val="Normal"/>
        <w:spacing w:lineRule="auto" w:line="240"/>
        <w:jc w:val="both"/>
        <w:rPr>
          <w:rFonts w:ascii="Verdana" w:hAnsi="Verdana"/>
          <w:sz w:val="20"/>
          <w:szCs w:val="20"/>
        </w:rPr>
      </w:pPr>
      <w:r>
        <w:rPr>
          <w:rFonts w:ascii="Verdana" w:hAnsi="Verdana"/>
          <w:b/>
          <w:bCs/>
          <w:sz w:val="20"/>
          <w:szCs w:val="20"/>
        </w:rPr>
        <w:t xml:space="preserve">5.1. </w:t>
      </w:r>
      <w:r>
        <w:rPr>
          <w:rFonts w:ascii="Verdana" w:hAnsi="Verdana"/>
          <w:sz w:val="20"/>
          <w:szCs w:val="20"/>
        </w:rPr>
        <w:t xml:space="preserve">Contratação de empresa especializada, </w:t>
      </w:r>
      <w:r>
        <w:rPr>
          <w:rFonts w:ascii="Verdana" w:hAnsi="Verdana"/>
          <w:sz w:val="20"/>
          <w:szCs w:val="20"/>
          <w:u w:val="single"/>
        </w:rPr>
        <w:t>para aquisição de caixas de som portátil e tendas.</w:t>
      </w:r>
    </w:p>
    <w:p>
      <w:pPr>
        <w:pStyle w:val="Normal"/>
        <w:spacing w:lineRule="auto" w:line="240"/>
        <w:jc w:val="both"/>
        <w:rPr>
          <w:rFonts w:ascii="Verdana" w:hAnsi="Verdana"/>
          <w:sz w:val="20"/>
          <w:szCs w:val="20"/>
        </w:rPr>
      </w:pPr>
      <w:r>
        <w:rPr>
          <w:rFonts w:ascii="Verdana" w:hAnsi="Verdana"/>
          <w:b/>
          <w:sz w:val="20"/>
          <w:szCs w:val="20"/>
        </w:rPr>
        <w:t xml:space="preserve">5.2. </w:t>
      </w:r>
      <w:r>
        <w:rPr>
          <w:rFonts w:ascii="Verdana" w:hAnsi="Verdana"/>
          <w:sz w:val="20"/>
          <w:szCs w:val="20"/>
        </w:rPr>
        <w:t>Considerando a necessidade de atendermos a Secretaria Municipal de Educação e as escolas municipais com áreas de sombra e abrigo contra sol excessivo ou chuva em feiras de ciências, campeonatos escolares, desfiles cívicos e atividades recreativas nos pátios das escolas.</w:t>
      </w:r>
    </w:p>
    <w:p>
      <w:pPr>
        <w:pStyle w:val="Normal"/>
        <w:spacing w:lineRule="auto" w:line="240"/>
        <w:jc w:val="both"/>
        <w:rPr>
          <w:rFonts w:ascii="Verdana" w:hAnsi="Verdana"/>
          <w:sz w:val="20"/>
          <w:szCs w:val="20"/>
        </w:rPr>
      </w:pPr>
      <w:r>
        <w:rPr>
          <w:rFonts w:ascii="Verdana" w:hAnsi="Verdana"/>
          <w:b/>
          <w:sz w:val="20"/>
          <w:szCs w:val="20"/>
        </w:rPr>
        <w:t>5.3.</w:t>
      </w:r>
      <w:r>
        <w:rPr>
          <w:rFonts w:ascii="Verdana" w:hAnsi="Verdana"/>
          <w:sz w:val="20"/>
          <w:szCs w:val="20"/>
        </w:rPr>
        <w:t xml:space="preserve"> Considerando que é responsabilidade da Secretaria Municipal de Educação dar suporte e equipar as escolas a fim de oferecer subsídios para um bom atendimento aos alunos e funcionários.</w:t>
      </w:r>
    </w:p>
    <w:p>
      <w:pPr>
        <w:pStyle w:val="Normal"/>
        <w:spacing w:lineRule="auto" w:line="240"/>
        <w:jc w:val="both"/>
        <w:rPr>
          <w:rFonts w:ascii="Verdana" w:hAnsi="Verdana"/>
          <w:sz w:val="20"/>
          <w:szCs w:val="20"/>
        </w:rPr>
      </w:pPr>
      <w:r>
        <w:rPr>
          <w:rFonts w:ascii="Verdana" w:hAnsi="Verdana"/>
          <w:b/>
          <w:bCs/>
          <w:sz w:val="20"/>
          <w:szCs w:val="20"/>
        </w:rPr>
        <w:t xml:space="preserve">5.4. </w:t>
      </w:r>
      <w:r>
        <w:rPr>
          <w:rFonts w:ascii="Verdana" w:hAnsi="Verdana"/>
          <w:sz w:val="20"/>
          <w:szCs w:val="20"/>
        </w:rPr>
        <w:t>Considerando a importância das avaliações externas para diagnosticar a qualidade da educação, medir competências dos alunos e guiar políticas públicas para a melhoria do ensino.</w:t>
      </w:r>
      <w:r>
        <w:rPr>
          <w:rFonts w:ascii="Verdana" w:hAnsi="Verdana"/>
          <w:b/>
          <w:bCs/>
          <w:sz w:val="20"/>
          <w:szCs w:val="20"/>
        </w:rPr>
        <w:t xml:space="preserve"> </w:t>
      </w:r>
    </w:p>
    <w:p>
      <w:pPr>
        <w:pStyle w:val="Normal"/>
        <w:spacing w:lineRule="auto" w:line="240"/>
        <w:jc w:val="both"/>
        <w:rPr>
          <w:rFonts w:ascii="Verdana" w:hAnsi="Verdana"/>
          <w:sz w:val="20"/>
          <w:szCs w:val="20"/>
        </w:rPr>
      </w:pPr>
      <w:r>
        <w:rPr>
          <w:rFonts w:ascii="Verdana" w:hAnsi="Verdana"/>
          <w:b/>
          <w:bCs/>
          <w:sz w:val="20"/>
          <w:szCs w:val="20"/>
        </w:rPr>
        <w:t xml:space="preserve">5.5. </w:t>
      </w:r>
      <w:r>
        <w:rPr>
          <w:rFonts w:ascii="Verdana" w:hAnsi="Verdana"/>
          <w:sz w:val="20"/>
          <w:szCs w:val="20"/>
        </w:rPr>
        <w:t>Considerando que a Secretaria de Educação realiza o Evento de Premiação anual dos estudantes destaques nas avaliações de desempenho estudantil do</w:t>
      </w:r>
      <w:r>
        <w:rPr>
          <w:rFonts w:ascii="Verdana" w:hAnsi="Verdana"/>
          <w:b/>
          <w:bCs/>
          <w:sz w:val="20"/>
          <w:szCs w:val="20"/>
        </w:rPr>
        <w:t xml:space="preserve"> Inep/MEC </w:t>
      </w:r>
      <w:r>
        <w:rPr>
          <w:rFonts w:ascii="Verdana" w:hAnsi="Verdana"/>
          <w:sz w:val="20"/>
          <w:szCs w:val="20"/>
        </w:rPr>
        <w:t>tais como</w:t>
      </w:r>
      <w:r>
        <w:rPr>
          <w:rFonts w:ascii="Verdana" w:hAnsi="Verdana"/>
          <w:b/>
          <w:bCs/>
          <w:sz w:val="20"/>
          <w:szCs w:val="20"/>
        </w:rPr>
        <w:t xml:space="preserve"> (Saeb (Sistema de Avaliação da Educação Básica, PAEBES), </w:t>
      </w:r>
      <w:r>
        <w:rPr>
          <w:rFonts w:ascii="Verdana" w:hAnsi="Verdana"/>
          <w:sz w:val="20"/>
          <w:szCs w:val="20"/>
        </w:rPr>
        <w:t>e a premiação escolar é uma estratégia eficaz para engajar estudantes, validando a superação (evolução pessoal);</w:t>
      </w:r>
    </w:p>
    <w:p>
      <w:pPr>
        <w:pStyle w:val="Normal"/>
        <w:spacing w:lineRule="auto" w:line="240"/>
        <w:jc w:val="both"/>
        <w:rPr>
          <w:rFonts w:ascii="Verdana" w:hAnsi="Verdana"/>
          <w:sz w:val="20"/>
          <w:szCs w:val="20"/>
        </w:rPr>
      </w:pPr>
      <w:r>
        <w:rPr>
          <w:rFonts w:ascii="Verdana" w:hAnsi="Verdana"/>
          <w:b/>
          <w:sz w:val="20"/>
          <w:szCs w:val="20"/>
        </w:rPr>
        <w:t>5.5.</w:t>
      </w:r>
      <w:r>
        <w:rPr>
          <w:rFonts w:ascii="Verdana" w:hAnsi="Verdana"/>
          <w:sz w:val="20"/>
          <w:szCs w:val="20"/>
        </w:rPr>
        <w:t xml:space="preserve"> Diante da necessidade acima, iniciou-se o presente Estudo Técnico Preliminar por meio do qual será possível decidir qual é a melhor solução.</w:t>
      </w:r>
    </w:p>
    <w:p>
      <w:pPr>
        <w:pStyle w:val="Normal"/>
        <w:pBdr/>
        <w:spacing w:lineRule="auto" w:line="240"/>
        <w:jc w:val="both"/>
        <w:rPr>
          <w:rFonts w:ascii="Verdana" w:hAnsi="Verdana"/>
          <w:color w:val="000000"/>
          <w:sz w:val="20"/>
          <w:szCs w:val="20"/>
        </w:rPr>
      </w:pPr>
      <w:r>
        <w:rPr>
          <w:rFonts w:ascii="Verdana" w:hAnsi="Verdana"/>
          <w:color w:val="000000"/>
          <w:sz w:val="20"/>
          <w:szCs w:val="20"/>
        </w:rPr>
      </w:r>
    </w:p>
    <w:p>
      <w:pPr>
        <w:pStyle w:val="Normal"/>
        <w:spacing w:lineRule="auto" w:line="240"/>
        <w:rPr>
          <w:rFonts w:ascii="Verdana" w:hAnsi="Verdana"/>
          <w:sz w:val="20"/>
          <w:szCs w:val="20"/>
        </w:rPr>
      </w:pPr>
      <w:r>
        <w:rPr>
          <w:rFonts w:ascii="Verdana" w:hAnsi="Verdana"/>
          <w:b/>
          <w:sz w:val="20"/>
          <w:szCs w:val="20"/>
        </w:rPr>
        <w:t>6. ÁREA REQUISITANTE</w:t>
      </w:r>
    </w:p>
    <w:p>
      <w:pPr>
        <w:pStyle w:val="Normal"/>
        <w:spacing w:lineRule="auto" w:line="240"/>
        <w:rPr>
          <w:rFonts w:ascii="Verdana" w:hAnsi="Verdana"/>
          <w:sz w:val="20"/>
          <w:szCs w:val="20"/>
        </w:rPr>
      </w:pPr>
      <w:r>
        <w:rPr>
          <w:rFonts w:ascii="Verdana" w:hAnsi="Verdana"/>
          <w:sz w:val="20"/>
          <w:szCs w:val="20"/>
        </w:rPr>
        <w:t>Secretaria Municipal de Educação</w:t>
      </w:r>
    </w:p>
    <w:p>
      <w:pPr>
        <w:pStyle w:val="Normal"/>
        <w:spacing w:lineRule="auto" w:line="240"/>
        <w:rPr>
          <w:rFonts w:ascii="Verdana" w:hAnsi="Verdana"/>
          <w:i/>
          <w:i/>
          <w:sz w:val="20"/>
          <w:szCs w:val="20"/>
        </w:rPr>
      </w:pPr>
      <w:r>
        <w:rPr>
          <w:rFonts w:ascii="Verdana" w:hAnsi="Verdana"/>
          <w:i/>
          <w:sz w:val="20"/>
          <w:szCs w:val="20"/>
        </w:rPr>
      </w:r>
    </w:p>
    <w:p>
      <w:pPr>
        <w:pStyle w:val="Normal"/>
        <w:spacing w:lineRule="auto" w:line="240"/>
        <w:jc w:val="both"/>
        <w:rPr>
          <w:rFonts w:ascii="Verdana" w:hAnsi="Verdana"/>
          <w:sz w:val="20"/>
          <w:szCs w:val="20"/>
        </w:rPr>
      </w:pPr>
      <w:r>
        <w:rPr>
          <w:rFonts w:ascii="Verdana" w:hAnsi="Verdana"/>
          <w:b/>
          <w:sz w:val="20"/>
          <w:szCs w:val="20"/>
        </w:rPr>
        <w:t>7. DESCRIÇÃO DOS REQUISITOS DA CONTRATAÇÃO</w:t>
      </w:r>
    </w:p>
    <w:p>
      <w:pPr>
        <w:pStyle w:val="Normal"/>
        <w:spacing w:lineRule="auto" w:line="240"/>
        <w:jc w:val="both"/>
        <w:rPr>
          <w:rFonts w:ascii="Verdana" w:hAnsi="Verdana"/>
          <w:sz w:val="20"/>
          <w:szCs w:val="20"/>
        </w:rPr>
      </w:pPr>
      <w:r>
        <w:rPr>
          <w:rFonts w:ascii="Verdana" w:hAnsi="Verdana"/>
          <w:b/>
          <w:bCs/>
          <w:sz w:val="20"/>
          <w:szCs w:val="20"/>
        </w:rPr>
        <w:t>3.1.</w:t>
      </w:r>
      <w:r>
        <w:rPr>
          <w:rFonts w:ascii="Verdana" w:hAnsi="Verdana"/>
          <w:sz w:val="20"/>
          <w:szCs w:val="20"/>
        </w:rPr>
        <w:t xml:space="preserve"> Neste procedimento licitatório será sagrada vencedora o fornecedor apresentar o menor preço e poderá ser utilizado menor preço por item. </w:t>
      </w:r>
    </w:p>
    <w:p>
      <w:pPr>
        <w:pStyle w:val="Normal"/>
        <w:spacing w:lineRule="auto" w:line="240"/>
        <w:jc w:val="both"/>
        <w:rPr>
          <w:rFonts w:ascii="Verdana" w:hAnsi="Verdana"/>
          <w:sz w:val="20"/>
          <w:szCs w:val="20"/>
        </w:rPr>
      </w:pPr>
      <w:r>
        <w:rPr>
          <w:rFonts w:ascii="Verdana" w:hAnsi="Verdana"/>
          <w:b/>
          <w:bCs/>
          <w:sz w:val="20"/>
          <w:szCs w:val="20"/>
        </w:rPr>
        <w:t>3.2.</w:t>
      </w:r>
      <w:r>
        <w:rPr>
          <w:rFonts w:ascii="Verdana" w:hAnsi="Verdana"/>
          <w:sz w:val="20"/>
          <w:szCs w:val="20"/>
        </w:rPr>
        <w:t xml:space="preserve"> A contratação deverá obedecer, no que couber, ao disposto na Lei n.º 14.133/2021 e suas alterações e demais legislações correlatas.</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8. Da qualificação técnica.</w:t>
      </w:r>
    </w:p>
    <w:p>
      <w:pPr>
        <w:pStyle w:val="Normal"/>
        <w:spacing w:lineRule="auto" w:line="240"/>
        <w:jc w:val="both"/>
        <w:rPr>
          <w:rFonts w:ascii="Verdana" w:hAnsi="Verdana"/>
          <w:sz w:val="20"/>
          <w:szCs w:val="20"/>
        </w:rPr>
      </w:pPr>
      <w:r>
        <w:rPr>
          <w:rFonts w:ascii="Verdana" w:hAnsi="Verdana"/>
          <w:b/>
          <w:sz w:val="20"/>
          <w:szCs w:val="20"/>
        </w:rPr>
        <w:t xml:space="preserve">8.1 </w:t>
      </w:r>
      <w:r>
        <w:rPr>
          <w:rFonts w:ascii="Verdana" w:hAnsi="Verdana"/>
          <w:color w:val="001D35"/>
          <w:sz w:val="20"/>
          <w:szCs w:val="20"/>
          <w:highlight w:val="white"/>
        </w:rPr>
        <w:t>P</w:t>
      </w:r>
      <w:r>
        <w:rPr>
          <w:rFonts w:ascii="Verdana" w:hAnsi="Verdana"/>
          <w:sz w:val="20"/>
          <w:szCs w:val="20"/>
          <w:highlight w:val="white"/>
        </w:rPr>
        <w:t>ara efeitos de comprovação da qualificação técnica, são necessários documentos que atestem capacidade técnica, tais como Documentos de Habilitação Fiscal, Social e Trabalhista, regularidade com relação a impostos, contribuições sociais e obrigações trabalhistas.</w:t>
      </w:r>
    </w:p>
    <w:p>
      <w:pPr>
        <w:pStyle w:val="Normal"/>
        <w:spacing w:lineRule="auto" w:line="240"/>
        <w:jc w:val="both"/>
        <w:rPr>
          <w:rFonts w:ascii="Verdana" w:hAnsi="Verdana"/>
          <w:sz w:val="20"/>
          <w:szCs w:val="20"/>
        </w:rPr>
      </w:pPr>
      <w:r>
        <w:rPr>
          <w:rFonts w:ascii="Verdana" w:hAnsi="Verdana"/>
          <w:b/>
          <w:sz w:val="20"/>
          <w:szCs w:val="20"/>
          <w:highlight w:val="white"/>
        </w:rPr>
        <w:t>8.2 Para garantir a qualidade sonora (caixas de som portátil):</w:t>
      </w:r>
    </w:p>
    <w:p>
      <w:pPr>
        <w:pStyle w:val="Normal"/>
        <w:spacing w:lineRule="auto" w:line="240"/>
        <w:jc w:val="both"/>
        <w:rPr>
          <w:rFonts w:ascii="Verdana" w:hAnsi="Verdana"/>
          <w:sz w:val="20"/>
          <w:szCs w:val="20"/>
        </w:rPr>
      </w:pPr>
      <w:r>
        <w:rPr>
          <w:rFonts w:ascii="Verdana" w:hAnsi="Verdana"/>
          <w:b/>
          <w:sz w:val="20"/>
          <w:szCs w:val="20"/>
          <w:highlight w:val="white"/>
        </w:rPr>
        <w:t>a)</w:t>
      </w:r>
      <w:r>
        <w:rPr>
          <w:rFonts w:cs="Arial" w:ascii="Verdana" w:hAnsi="Verdana"/>
          <w:b/>
          <w:bCs/>
          <w:sz w:val="20"/>
          <w:szCs w:val="20"/>
        </w:rPr>
        <w:t xml:space="preserve"> </w:t>
      </w:r>
      <w:r>
        <w:rPr>
          <w:rFonts w:ascii="Verdana" w:hAnsi="Verdana"/>
          <w:b/>
          <w:bCs/>
          <w:sz w:val="20"/>
          <w:szCs w:val="20"/>
          <w:highlight w:val="white"/>
        </w:rPr>
        <w:t>Potência e Componentes:</w:t>
      </w:r>
      <w:r>
        <w:rPr>
          <w:rFonts w:ascii="Verdana" w:hAnsi="Verdana"/>
          <w:b/>
          <w:sz w:val="20"/>
          <w:szCs w:val="20"/>
          <w:highlight w:val="white"/>
        </w:rPr>
        <w:t xml:space="preserve"> </w:t>
      </w:r>
      <w:r>
        <w:rPr>
          <w:rFonts w:ascii="Verdana" w:hAnsi="Verdana"/>
          <w:bCs/>
          <w:sz w:val="20"/>
          <w:szCs w:val="20"/>
          <w:highlight w:val="white"/>
        </w:rPr>
        <w:t xml:space="preserve">Especificação de potência mínima </w:t>
      </w:r>
      <w:r>
        <w:rPr>
          <w:rFonts w:ascii="Verdana" w:hAnsi="Verdana"/>
          <w:sz w:val="20"/>
          <w:szCs w:val="20"/>
        </w:rPr>
        <w:t>10W a 20W RMS;</w:t>
      </w:r>
    </w:p>
    <w:p>
      <w:pPr>
        <w:pStyle w:val="Normal"/>
        <w:spacing w:lineRule="auto" w:line="240"/>
        <w:jc w:val="both"/>
        <w:rPr>
          <w:rFonts w:ascii="Verdana" w:hAnsi="Verdana"/>
          <w:sz w:val="20"/>
          <w:szCs w:val="20"/>
        </w:rPr>
      </w:pPr>
      <w:r>
        <w:rPr>
          <w:rFonts w:ascii="Verdana" w:hAnsi="Verdana"/>
          <w:b/>
          <w:sz w:val="20"/>
          <w:szCs w:val="20"/>
          <w:highlight w:val="white"/>
        </w:rPr>
        <w:t>b)</w:t>
      </w:r>
      <w:r>
        <w:rPr>
          <w:rFonts w:cs="Arial" w:ascii="Verdana" w:hAnsi="Verdana"/>
          <w:b/>
          <w:bCs/>
          <w:sz w:val="20"/>
          <w:szCs w:val="20"/>
        </w:rPr>
        <w:t xml:space="preserve"> </w:t>
      </w:r>
      <w:r>
        <w:rPr>
          <w:rFonts w:ascii="Verdana" w:hAnsi="Verdana"/>
          <w:b/>
          <w:bCs/>
          <w:sz w:val="20"/>
          <w:szCs w:val="20"/>
          <w:highlight w:val="white"/>
        </w:rPr>
        <w:t>Conectividade e Bateria:</w:t>
      </w:r>
      <w:r>
        <w:rPr>
          <w:rFonts w:ascii="Verdana" w:hAnsi="Verdana"/>
          <w:b/>
          <w:sz w:val="20"/>
          <w:szCs w:val="20"/>
          <w:highlight w:val="white"/>
        </w:rPr>
        <w:t xml:space="preserve"> </w:t>
      </w:r>
      <w:r>
        <w:rPr>
          <w:rFonts w:ascii="Verdana" w:hAnsi="Verdana"/>
          <w:bCs/>
          <w:sz w:val="20"/>
          <w:szCs w:val="20"/>
          <w:highlight w:val="white"/>
        </w:rPr>
        <w:t xml:space="preserve">Presença de tecnologia Bluetooth, autonomia da bateria (miliampère-hora, mAh) e certificação de resistência à água ou impacto. </w:t>
      </w:r>
    </w:p>
    <w:p>
      <w:pPr>
        <w:pStyle w:val="Normal"/>
        <w:tabs>
          <w:tab w:val="clear" w:pos="720"/>
          <w:tab w:val="right" w:pos="9746" w:leader="none"/>
        </w:tabs>
        <w:spacing w:lineRule="auto" w:line="240"/>
        <w:jc w:val="both"/>
        <w:rPr>
          <w:rFonts w:ascii="Verdana" w:hAnsi="Verdana"/>
          <w:sz w:val="20"/>
          <w:szCs w:val="20"/>
        </w:rPr>
      </w:pPr>
      <w:r>
        <w:rPr>
          <w:rFonts w:ascii="Verdana" w:hAnsi="Verdana"/>
          <w:b/>
          <w:sz w:val="20"/>
          <w:szCs w:val="20"/>
        </w:rPr>
        <w:t>c)</w:t>
      </w:r>
      <w:r>
        <w:rPr>
          <w:rFonts w:cs="Arial" w:ascii="Verdana" w:hAnsi="Verdana"/>
          <w:b/>
          <w:bCs/>
          <w:sz w:val="20"/>
          <w:szCs w:val="20"/>
        </w:rPr>
        <w:t xml:space="preserve"> </w:t>
      </w:r>
      <w:r>
        <w:rPr>
          <w:rFonts w:ascii="Verdana" w:hAnsi="Verdana"/>
          <w:b/>
          <w:bCs/>
          <w:sz w:val="20"/>
          <w:szCs w:val="20"/>
        </w:rPr>
        <w:t>Acessórios:</w:t>
      </w:r>
      <w:r>
        <w:rPr>
          <w:rFonts w:ascii="Verdana" w:hAnsi="Verdana"/>
          <w:b/>
          <w:sz w:val="20"/>
          <w:szCs w:val="20"/>
        </w:rPr>
        <w:t xml:space="preserve"> </w:t>
      </w:r>
      <w:r>
        <w:rPr>
          <w:rFonts w:ascii="Verdana" w:hAnsi="Verdana"/>
          <w:bCs/>
          <w:sz w:val="20"/>
          <w:szCs w:val="20"/>
        </w:rPr>
        <w:t>Deve conter</w:t>
      </w:r>
      <w:r>
        <w:rPr>
          <w:rFonts w:ascii="Verdana" w:hAnsi="Verdana"/>
          <w:b/>
          <w:sz w:val="20"/>
          <w:szCs w:val="20"/>
        </w:rPr>
        <w:t xml:space="preserve"> </w:t>
      </w:r>
      <w:r>
        <w:rPr>
          <w:rFonts w:ascii="Verdana" w:hAnsi="Verdana"/>
          <w:bCs/>
          <w:sz w:val="20"/>
          <w:szCs w:val="20"/>
        </w:rPr>
        <w:t>Cabo para carregar, manual de instruções e garantia;</w:t>
        <w:tab/>
      </w:r>
    </w:p>
    <w:p>
      <w:pPr>
        <w:pStyle w:val="Normal"/>
        <w:spacing w:lineRule="auto" w:line="240"/>
        <w:jc w:val="both"/>
        <w:rPr>
          <w:rFonts w:ascii="Verdana" w:hAnsi="Verdana"/>
          <w:sz w:val="20"/>
          <w:szCs w:val="20"/>
        </w:rPr>
      </w:pPr>
      <w:r>
        <w:rPr>
          <w:rFonts w:ascii="Verdana" w:hAnsi="Verdana"/>
          <w:b/>
          <w:sz w:val="20"/>
          <w:szCs w:val="20"/>
        </w:rPr>
        <w:t>8.3 Para a compra de tendas sanfonadas, a qualificação envolve:</w:t>
      </w:r>
    </w:p>
    <w:p>
      <w:pPr>
        <w:pStyle w:val="Normal"/>
        <w:spacing w:lineRule="auto" w:line="240"/>
        <w:jc w:val="both"/>
        <w:rPr>
          <w:rFonts w:ascii="Verdana" w:hAnsi="Verdana"/>
          <w:sz w:val="20"/>
          <w:szCs w:val="20"/>
        </w:rPr>
      </w:pPr>
      <w:r>
        <w:rPr>
          <w:rFonts w:ascii="Verdana" w:hAnsi="Verdana"/>
          <w:b/>
          <w:sz w:val="20"/>
          <w:szCs w:val="20"/>
        </w:rPr>
        <w:t>a)</w:t>
      </w:r>
      <w:r>
        <w:rPr>
          <w:rFonts w:cs="Arial" w:ascii="Verdana" w:hAnsi="Verdana"/>
          <w:b/>
          <w:bCs/>
          <w:sz w:val="20"/>
          <w:szCs w:val="20"/>
        </w:rPr>
        <w:t xml:space="preserve"> </w:t>
      </w:r>
      <w:r>
        <w:rPr>
          <w:rFonts w:ascii="Verdana" w:hAnsi="Verdana"/>
          <w:b/>
          <w:bCs/>
          <w:sz w:val="20"/>
          <w:szCs w:val="20"/>
        </w:rPr>
        <w:t>Estrutura:</w:t>
      </w:r>
      <w:r>
        <w:rPr>
          <w:rFonts w:ascii="Verdana" w:hAnsi="Verdana"/>
          <w:b/>
          <w:sz w:val="20"/>
          <w:szCs w:val="20"/>
        </w:rPr>
        <w:t xml:space="preserve"> </w:t>
      </w:r>
      <w:r>
        <w:rPr>
          <w:rFonts w:ascii="Verdana" w:hAnsi="Verdana"/>
          <w:bCs/>
          <w:sz w:val="20"/>
          <w:szCs w:val="20"/>
        </w:rPr>
        <w:t>Exigência de perfis metálicos resistentes (como ferro galvanizado ou alumínio) e tratamento antiferrugem.</w:t>
      </w:r>
    </w:p>
    <w:p>
      <w:pPr>
        <w:pStyle w:val="Normal"/>
        <w:spacing w:lineRule="auto" w:line="240"/>
        <w:jc w:val="both"/>
        <w:rPr>
          <w:rFonts w:ascii="Verdana" w:hAnsi="Verdana"/>
          <w:sz w:val="20"/>
          <w:szCs w:val="20"/>
        </w:rPr>
      </w:pPr>
      <w:r>
        <w:rPr>
          <w:rFonts w:ascii="Verdana" w:hAnsi="Verdana"/>
          <w:b/>
          <w:sz w:val="20"/>
          <w:szCs w:val="20"/>
        </w:rPr>
        <w:t>b)</w:t>
      </w:r>
      <w:r>
        <w:rPr>
          <w:rFonts w:cs="Arial" w:ascii="Verdana" w:hAnsi="Verdana"/>
          <w:b/>
          <w:bCs/>
          <w:sz w:val="20"/>
          <w:szCs w:val="20"/>
        </w:rPr>
        <w:t xml:space="preserve"> </w:t>
      </w:r>
      <w:r>
        <w:rPr>
          <w:rFonts w:ascii="Verdana" w:hAnsi="Verdana"/>
          <w:b/>
          <w:bCs/>
          <w:sz w:val="20"/>
          <w:szCs w:val="20"/>
        </w:rPr>
        <w:t>Cobertura:</w:t>
      </w:r>
      <w:r>
        <w:rPr>
          <w:rFonts w:ascii="Verdana" w:hAnsi="Verdana"/>
          <w:b/>
          <w:sz w:val="20"/>
          <w:szCs w:val="20"/>
        </w:rPr>
        <w:t xml:space="preserve"> </w:t>
      </w:r>
      <w:r>
        <w:rPr>
          <w:rFonts w:ascii="Verdana" w:hAnsi="Verdana"/>
          <w:bCs/>
          <w:sz w:val="20"/>
          <w:szCs w:val="20"/>
        </w:rPr>
        <w:t>Contendo propriedades impermeáveis, proteção solar FPS 100 (Anti-UV) e antichamas.</w:t>
      </w:r>
    </w:p>
    <w:p>
      <w:pPr>
        <w:pStyle w:val="Normal"/>
        <w:tabs>
          <w:tab w:val="clear" w:pos="720"/>
          <w:tab w:val="left" w:pos="1540" w:leader="none"/>
        </w:tabs>
        <w:spacing w:lineRule="auto" w:line="240"/>
        <w:jc w:val="both"/>
        <w:rPr>
          <w:rFonts w:ascii="Verdana" w:hAnsi="Verdana"/>
          <w:sz w:val="20"/>
          <w:szCs w:val="20"/>
        </w:rPr>
      </w:pPr>
      <w:r>
        <w:rPr>
          <w:rFonts w:ascii="Verdana" w:hAnsi="Verdana"/>
          <w:b/>
          <w:sz w:val="20"/>
          <w:szCs w:val="20"/>
          <w:highlight w:val="white"/>
        </w:rPr>
        <w:t>c)</w:t>
      </w:r>
      <w:r>
        <w:rPr>
          <w:rFonts w:ascii="Verdana" w:hAnsi="Verdana"/>
          <w:sz w:val="20"/>
          <w:szCs w:val="20"/>
        </w:rPr>
        <w:t xml:space="preserve"> </w:t>
      </w:r>
      <w:r>
        <w:rPr>
          <w:rFonts w:ascii="Verdana" w:hAnsi="Verdana"/>
          <w:b/>
          <w:bCs/>
          <w:sz w:val="20"/>
          <w:szCs w:val="20"/>
        </w:rPr>
        <w:t>Segurança:</w:t>
      </w:r>
      <w:r>
        <w:rPr>
          <w:rFonts w:ascii="Verdana" w:hAnsi="Verdana"/>
          <w:sz w:val="20"/>
          <w:szCs w:val="20"/>
        </w:rPr>
        <w:t xml:space="preserve"> Sistema de ancoragem (estacas e cordas) que garanta estabilidade com ventos de pelo menos 30 km/h e Bolsa de Transporte Fácil Montagem</w:t>
      </w:r>
      <w:r>
        <w:rPr>
          <w:rFonts w:ascii="Verdana" w:hAnsi="Verdana"/>
          <w:b/>
          <w:sz w:val="20"/>
          <w:szCs w:val="20"/>
        </w:rPr>
        <w:t>.</w:t>
      </w:r>
    </w:p>
    <w:p>
      <w:pPr>
        <w:pStyle w:val="Normal"/>
        <w:tabs>
          <w:tab w:val="clear" w:pos="720"/>
          <w:tab w:val="left" w:pos="1540" w:leader="none"/>
        </w:tabs>
        <w:spacing w:lineRule="auto" w:line="240"/>
        <w:jc w:val="both"/>
        <w:rPr>
          <w:rFonts w:ascii="Verdana" w:hAnsi="Verdana"/>
          <w:b/>
          <w:sz w:val="20"/>
          <w:szCs w:val="20"/>
          <w:highlight w:val="white"/>
        </w:rPr>
      </w:pPr>
      <w:r>
        <w:rPr>
          <w:rFonts w:ascii="Verdana" w:hAnsi="Verdana"/>
          <w:b/>
          <w:sz w:val="20"/>
          <w:szCs w:val="20"/>
          <w:highlight w:val="white"/>
        </w:rPr>
      </w:r>
    </w:p>
    <w:p>
      <w:pPr>
        <w:pStyle w:val="Normal"/>
        <w:spacing w:lineRule="auto" w:line="240"/>
        <w:jc w:val="both"/>
        <w:rPr>
          <w:rFonts w:ascii="Verdana" w:hAnsi="Verdana"/>
          <w:sz w:val="20"/>
          <w:szCs w:val="20"/>
        </w:rPr>
      </w:pPr>
      <w:r>
        <w:rPr>
          <w:rFonts w:ascii="Verdana" w:hAnsi="Verdana"/>
          <w:b/>
          <w:sz w:val="20"/>
          <w:szCs w:val="20"/>
        </w:rPr>
        <w:t>9. ESTIMATIVA DA QUANTIDADE E VALOR DA CONTRATAÇÃO:</w:t>
      </w:r>
    </w:p>
    <w:p>
      <w:pPr>
        <w:pStyle w:val="Normal"/>
        <w:spacing w:lineRule="auto" w:line="240"/>
        <w:jc w:val="both"/>
        <w:rPr>
          <w:rFonts w:ascii="Verdana" w:hAnsi="Verdana"/>
          <w:sz w:val="20"/>
          <w:szCs w:val="20"/>
        </w:rPr>
      </w:pPr>
      <w:r>
        <w:rPr>
          <w:rFonts w:ascii="Verdana" w:hAnsi="Verdana"/>
          <w:b/>
          <w:sz w:val="20"/>
          <w:szCs w:val="20"/>
        </w:rPr>
        <w:t xml:space="preserve">9.1 </w:t>
      </w:r>
      <w:r>
        <w:rPr>
          <w:rFonts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jc w:val="both"/>
        <w:rPr/>
      </w:pPr>
      <w:r>
        <w:rPr>
          <w:rFonts w:ascii="Verdana" w:hAnsi="Verdana"/>
          <w:b/>
          <w:color w:val="000000"/>
          <w:sz w:val="20"/>
          <w:szCs w:val="20"/>
        </w:rPr>
        <w:t xml:space="preserve">9.2. </w:t>
      </w:r>
      <w:r>
        <w:rPr>
          <w:rFonts w:ascii="Verdana" w:hAnsi="Verdana"/>
          <w:color w:val="000000"/>
          <w:sz w:val="20"/>
          <w:szCs w:val="20"/>
        </w:rPr>
        <w:t xml:space="preserve">Conforme </w:t>
      </w:r>
      <w:r>
        <w:rPr>
          <w:rFonts w:ascii="Verdana" w:hAnsi="Verdana"/>
          <w:sz w:val="20"/>
          <w:szCs w:val="20"/>
        </w:rPr>
        <w:t xml:space="preserve">os requisitos estabelecidos para a contratação, a estimativa de preço foi realizada no  PNCP - </w:t>
      </w:r>
      <w:hyperlink r:id="rId2">
        <w:r>
          <w:rPr>
            <w:rStyle w:val="Hyperlink"/>
            <w:rFonts w:ascii="Verdana" w:hAnsi="Verdana"/>
            <w:sz w:val="20"/>
            <w:szCs w:val="20"/>
          </w:rPr>
          <w:t>https://pncp.gov.br/app/editais/18650945000114/2026/23</w:t>
        </w:r>
      </w:hyperlink>
    </w:p>
    <w:p>
      <w:pPr>
        <w:pStyle w:val="Normal"/>
        <w:spacing w:lineRule="auto" w:line="240"/>
        <w:jc w:val="both"/>
        <w:rPr>
          <w:rFonts w:ascii="Verdana" w:hAnsi="Verdana"/>
          <w:sz w:val="20"/>
          <w:szCs w:val="20"/>
        </w:rPr>
      </w:pPr>
      <w:r>
        <w:rPr>
          <w:rFonts w:ascii="Verdana" w:hAnsi="Verdana"/>
          <w:b/>
          <w:sz w:val="20"/>
          <w:szCs w:val="20"/>
        </w:rPr>
        <w:t xml:space="preserve">9.4 </w:t>
      </w:r>
      <w:r>
        <w:rPr>
          <w:rFonts w:ascii="Verdana" w:hAnsi="Verdana"/>
          <w:sz w:val="20"/>
          <w:szCs w:val="20"/>
        </w:rPr>
        <w:t>O valor estimado da contratação em tela é de</w:t>
      </w:r>
      <w:r>
        <w:rPr>
          <w:rFonts w:ascii="Verdana" w:hAnsi="Verdana"/>
          <w:b/>
          <w:sz w:val="20"/>
          <w:szCs w:val="20"/>
        </w:rPr>
        <w:t xml:space="preserve"> R$82.360,80</w:t>
      </w:r>
      <w:r>
        <w:rPr>
          <w:rFonts w:ascii="Verdana" w:hAnsi="Verdana"/>
          <w:b/>
          <w:color w:val="000000"/>
          <w:sz w:val="20"/>
          <w:szCs w:val="20"/>
        </w:rPr>
        <w:t xml:space="preserve"> </w:t>
      </w:r>
      <w:r>
        <w:rPr>
          <w:rFonts w:ascii="Verdana" w:hAnsi="Verdana"/>
          <w:sz w:val="20"/>
          <w:szCs w:val="20"/>
        </w:rPr>
        <w:t>constante na planilha que se segue.</w:t>
      </w:r>
    </w:p>
    <w:p>
      <w:pPr>
        <w:pStyle w:val="Normal"/>
        <w:spacing w:lineRule="auto" w:line="240"/>
        <w:jc w:val="both"/>
        <w:rPr>
          <w:rFonts w:ascii="Verdana" w:hAnsi="Verdana"/>
          <w:b/>
          <w:sz w:val="20"/>
          <w:szCs w:val="20"/>
        </w:rPr>
      </w:pPr>
      <w:r>
        <w:rPr>
          <w:rFonts w:ascii="Verdana" w:hAnsi="Verdana"/>
          <w:b/>
          <w:sz w:val="20"/>
          <w:szCs w:val="20"/>
        </w:rPr>
      </w:r>
    </w:p>
    <w:tbl>
      <w:tblPr>
        <w:tblStyle w:val="a"/>
        <w:tblW w:w="9840" w:type="dxa"/>
        <w:jc w:val="left"/>
        <w:tblInd w:w="83" w:type="dxa"/>
        <w:tblLayout w:type="fixed"/>
        <w:tblCellMar>
          <w:top w:w="0" w:type="dxa"/>
          <w:left w:w="108" w:type="dxa"/>
          <w:bottom w:w="0" w:type="dxa"/>
          <w:right w:w="108" w:type="dxa"/>
        </w:tblCellMar>
        <w:tblLook w:firstRow="0" w:noVBand="0" w:lastRow="0" w:firstColumn="0" w:lastColumn="0" w:noHBand="0" w:val="0000"/>
      </w:tblPr>
      <w:tblGrid>
        <w:gridCol w:w="660"/>
        <w:gridCol w:w="4050"/>
        <w:gridCol w:w="914"/>
        <w:gridCol w:w="1006"/>
        <w:gridCol w:w="1335"/>
        <w:gridCol w:w="1874"/>
      </w:tblGrid>
      <w:tr>
        <w:trPr/>
        <w:tc>
          <w:tcPr>
            <w:tcW w:w="660" w:type="dxa"/>
            <w:tcBorders>
              <w:top w:val="single" w:sz="4" w:space="0" w:color="000000"/>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Item</w:t>
            </w:r>
          </w:p>
        </w:tc>
        <w:tc>
          <w:tcPr>
            <w:tcW w:w="4050" w:type="dxa"/>
            <w:tcBorders>
              <w:top w:val="single" w:sz="4" w:space="0" w:color="000000"/>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Descrição</w:t>
            </w:r>
          </w:p>
        </w:tc>
        <w:tc>
          <w:tcPr>
            <w:tcW w:w="914" w:type="dxa"/>
            <w:tcBorders>
              <w:top w:val="single" w:sz="4" w:space="0" w:color="000000"/>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Und</w:t>
            </w:r>
          </w:p>
        </w:tc>
        <w:tc>
          <w:tcPr>
            <w:tcW w:w="1006" w:type="dxa"/>
            <w:tcBorders>
              <w:top w:val="single" w:sz="4" w:space="0" w:color="000000"/>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Qtde Geral</w:t>
            </w:r>
          </w:p>
        </w:tc>
        <w:tc>
          <w:tcPr>
            <w:tcW w:w="1335" w:type="dxa"/>
            <w:tcBorders>
              <w:top w:val="single" w:sz="4" w:space="0" w:color="000000"/>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Valor</w:t>
            </w:r>
          </w:p>
          <w:p>
            <w:pPr>
              <w:pStyle w:val="Normal"/>
              <w:widowControl w:val="false"/>
              <w:pBdr/>
              <w:spacing w:lineRule="auto" w:line="240"/>
              <w:rPr>
                <w:rFonts w:ascii="Verdana" w:hAnsi="Verdana"/>
                <w:sz w:val="20"/>
                <w:szCs w:val="20"/>
              </w:rPr>
            </w:pPr>
            <w:r>
              <w:rPr>
                <w:rFonts w:ascii="Verdana" w:hAnsi="Verdana"/>
                <w:b/>
                <w:color w:val="000000"/>
                <w:sz w:val="20"/>
                <w:szCs w:val="20"/>
              </w:rPr>
              <w:t>Unitário</w:t>
            </w:r>
          </w:p>
        </w:tc>
        <w:tc>
          <w:tcPr>
            <w:tcW w:w="1874" w:type="dxa"/>
            <w:tcBorders>
              <w:top w:val="single" w:sz="4" w:space="0" w:color="000000"/>
              <w:left w:val="single" w:sz="4" w:space="0" w:color="000000"/>
              <w:bottom w:val="single" w:sz="4" w:space="0" w:color="000000"/>
              <w:right w:val="single" w:sz="4" w:space="0" w:color="000000"/>
            </w:tcBorders>
          </w:tcPr>
          <w:p>
            <w:pPr>
              <w:pStyle w:val="Normal"/>
              <w:widowControl w:val="false"/>
              <w:pBdr/>
              <w:spacing w:lineRule="auto" w:line="240"/>
              <w:rPr>
                <w:rFonts w:ascii="Verdana" w:hAnsi="Verdana"/>
                <w:sz w:val="20"/>
                <w:szCs w:val="20"/>
              </w:rPr>
            </w:pPr>
            <w:r>
              <w:rPr>
                <w:rFonts w:ascii="Verdana" w:hAnsi="Verdana"/>
                <w:b/>
                <w:color w:val="000000"/>
                <w:sz w:val="20"/>
                <w:szCs w:val="20"/>
              </w:rPr>
              <w:t>Valor Total</w:t>
            </w:r>
          </w:p>
        </w:tc>
      </w:tr>
      <w:tr>
        <w:trPr/>
        <w:tc>
          <w:tcPr>
            <w:tcW w:w="660" w:type="dxa"/>
            <w:tcBorders>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color w:val="000000"/>
                <w:sz w:val="20"/>
                <w:szCs w:val="20"/>
              </w:rPr>
              <w:t>01</w:t>
            </w:r>
          </w:p>
        </w:tc>
        <w:tc>
          <w:tcPr>
            <w:tcW w:w="4050" w:type="dxa"/>
            <w:tcBorders>
              <w:left w:val="single" w:sz="4" w:space="0" w:color="000000"/>
              <w:bottom w:val="single" w:sz="4" w:space="0" w:color="000000"/>
            </w:tcBorders>
          </w:tcPr>
          <w:p>
            <w:pPr>
              <w:pStyle w:val="Normal"/>
              <w:spacing w:lineRule="auto" w:line="240"/>
              <w:rPr>
                <w:rFonts w:ascii="Verdana" w:hAnsi="Verdana"/>
                <w:sz w:val="20"/>
                <w:szCs w:val="20"/>
              </w:rPr>
            </w:pPr>
            <w:r>
              <w:rPr>
                <w:rFonts w:ascii="Verdana" w:hAnsi="Verdana"/>
                <w:b/>
                <w:bCs/>
                <w:sz w:val="20"/>
                <w:szCs w:val="20"/>
              </w:rPr>
              <w:t>TENDA 3X3M SANFONADA</w:t>
            </w:r>
            <w:r>
              <w:rPr>
                <w:rFonts w:ascii="Verdana" w:hAnsi="Verdana"/>
                <w:sz w:val="20"/>
                <w:szCs w:val="20"/>
              </w:rPr>
              <w:t xml:space="preserve"> com Proteção Solar FPS 100 Barraca de Praia Camping Pesca Eventos Acampamento Grande Resistente Reforçado Articulado Bolsa de Transporte Fácil Montagem</w:t>
            </w:r>
            <w:r>
              <w:rPr>
                <w:rFonts w:ascii="Verdana" w:hAnsi="Verdana"/>
                <w:b/>
                <w:sz w:val="20"/>
                <w:szCs w:val="20"/>
              </w:rPr>
              <w:t>.</w:t>
            </w:r>
          </w:p>
        </w:tc>
        <w:tc>
          <w:tcPr>
            <w:tcW w:w="914" w:type="dxa"/>
            <w:tcBorders>
              <w:left w:val="single" w:sz="4" w:space="0" w:color="000000"/>
              <w:bottom w:val="single" w:sz="4" w:space="0" w:color="000000"/>
            </w:tcBorders>
          </w:tcPr>
          <w:p>
            <w:pPr>
              <w:pStyle w:val="Normal"/>
              <w:widowControl w:val="false"/>
              <w:pBdr/>
              <w:spacing w:lineRule="auto" w:line="240"/>
              <w:jc w:val="center"/>
              <w:rPr>
                <w:rFonts w:ascii="Verdana" w:hAnsi="Verdana"/>
                <w:sz w:val="20"/>
                <w:szCs w:val="20"/>
              </w:rPr>
            </w:pPr>
            <w:r>
              <w:rPr>
                <w:rFonts w:ascii="Verdana" w:hAnsi="Verdana"/>
                <w:color w:val="000000"/>
                <w:sz w:val="20"/>
                <w:szCs w:val="20"/>
              </w:rPr>
              <w:t>60</w:t>
            </w:r>
          </w:p>
        </w:tc>
        <w:tc>
          <w:tcPr>
            <w:tcW w:w="1006" w:type="dxa"/>
            <w:tcBorders>
              <w:left w:val="single" w:sz="4" w:space="0" w:color="000000"/>
              <w:bottom w:val="single" w:sz="4" w:space="0" w:color="000000"/>
            </w:tcBorders>
          </w:tcPr>
          <w:p>
            <w:pPr>
              <w:pStyle w:val="Normal"/>
              <w:widowControl w:val="false"/>
              <w:spacing w:lineRule="auto" w:line="240"/>
              <w:jc w:val="center"/>
              <w:rPr>
                <w:rFonts w:ascii="Verdana" w:hAnsi="Verdana"/>
                <w:sz w:val="20"/>
                <w:szCs w:val="20"/>
              </w:rPr>
            </w:pPr>
            <w:r>
              <w:rPr>
                <w:rFonts w:ascii="Verdana" w:hAnsi="Verdana"/>
                <w:sz w:val="20"/>
                <w:szCs w:val="20"/>
              </w:rPr>
              <w:t>60</w:t>
            </w:r>
          </w:p>
        </w:tc>
        <w:tc>
          <w:tcPr>
            <w:tcW w:w="1335" w:type="dxa"/>
            <w:tcBorders>
              <w:left w:val="single" w:sz="4" w:space="0" w:color="000000"/>
              <w:bottom w:val="single" w:sz="4" w:space="0" w:color="000000"/>
            </w:tcBorders>
          </w:tcPr>
          <w:p>
            <w:pPr>
              <w:pStyle w:val="Normal"/>
              <w:widowControl w:val="false"/>
              <w:spacing w:lineRule="auto" w:line="240"/>
              <w:rPr>
                <w:rFonts w:ascii="Verdana" w:hAnsi="Verdana"/>
                <w:sz w:val="20"/>
                <w:szCs w:val="20"/>
              </w:rPr>
            </w:pPr>
            <w:r>
              <w:rPr>
                <w:rFonts w:ascii="Verdana" w:hAnsi="Verdana"/>
                <w:color w:val="000000"/>
                <w:sz w:val="20"/>
                <w:szCs w:val="20"/>
              </w:rPr>
              <w:t>R$999,18</w:t>
            </w:r>
          </w:p>
        </w:tc>
        <w:tc>
          <w:tcPr>
            <w:tcW w:w="1874" w:type="dxa"/>
            <w:tcBorders>
              <w:left w:val="single" w:sz="4" w:space="0" w:color="000000"/>
              <w:bottom w:val="single" w:sz="4" w:space="0" w:color="000000"/>
              <w:right w:val="single" w:sz="4" w:space="0" w:color="000000"/>
            </w:tcBorders>
          </w:tcPr>
          <w:p>
            <w:pPr>
              <w:pStyle w:val="Normal"/>
              <w:widowControl w:val="false"/>
              <w:spacing w:lineRule="auto" w:line="240"/>
              <w:rPr>
                <w:rFonts w:ascii="Verdana" w:hAnsi="Verdana"/>
                <w:sz w:val="20"/>
                <w:szCs w:val="20"/>
              </w:rPr>
            </w:pPr>
            <w:r>
              <w:rPr>
                <w:rFonts w:ascii="Verdana" w:hAnsi="Verdana"/>
                <w:color w:val="000000"/>
                <w:sz w:val="20"/>
                <w:szCs w:val="20"/>
              </w:rPr>
              <w:t>R$59.950,80</w:t>
            </w:r>
          </w:p>
        </w:tc>
      </w:tr>
      <w:tr>
        <w:trPr/>
        <w:tc>
          <w:tcPr>
            <w:tcW w:w="660" w:type="dxa"/>
            <w:tcBorders>
              <w:left w:val="single" w:sz="4" w:space="0" w:color="000000"/>
              <w:bottom w:val="single" w:sz="4" w:space="0" w:color="000000"/>
            </w:tcBorders>
          </w:tcPr>
          <w:p>
            <w:pPr>
              <w:pStyle w:val="Normal"/>
              <w:widowControl w:val="false"/>
              <w:pBdr/>
              <w:spacing w:lineRule="auto" w:line="240"/>
              <w:rPr>
                <w:rFonts w:ascii="Verdana" w:hAnsi="Verdana"/>
                <w:sz w:val="20"/>
                <w:szCs w:val="20"/>
              </w:rPr>
            </w:pPr>
            <w:r>
              <w:rPr>
                <w:rFonts w:ascii="Verdana" w:hAnsi="Verdana"/>
                <w:color w:val="000000"/>
                <w:sz w:val="20"/>
                <w:szCs w:val="20"/>
              </w:rPr>
              <w:t>02</w:t>
            </w:r>
          </w:p>
        </w:tc>
        <w:tc>
          <w:tcPr>
            <w:tcW w:w="4050" w:type="dxa"/>
            <w:tcBorders>
              <w:left w:val="single" w:sz="4" w:space="0" w:color="000000"/>
              <w:bottom w:val="single" w:sz="4" w:space="0" w:color="000000"/>
            </w:tcBorders>
          </w:tcPr>
          <w:p>
            <w:pPr>
              <w:pStyle w:val="Normal"/>
              <w:spacing w:lineRule="auto" w:line="240"/>
              <w:rPr>
                <w:rFonts w:ascii="Verdana" w:hAnsi="Verdana"/>
                <w:sz w:val="20"/>
                <w:szCs w:val="20"/>
              </w:rPr>
            </w:pPr>
            <w:r>
              <w:rPr>
                <w:rFonts w:ascii="Verdana" w:hAnsi="Verdana"/>
                <w:b/>
                <w:bCs/>
                <w:sz w:val="20"/>
                <w:szCs w:val="20"/>
              </w:rPr>
              <w:t>CAIXA DE SOM PORTÁTIL</w:t>
            </w:r>
          </w:p>
          <w:p>
            <w:pPr>
              <w:pStyle w:val="Normal"/>
              <w:spacing w:lineRule="auto" w:line="240"/>
              <w:rPr>
                <w:rFonts w:ascii="Verdana" w:hAnsi="Verdana"/>
                <w:sz w:val="20"/>
                <w:szCs w:val="20"/>
              </w:rPr>
            </w:pPr>
            <w:r>
              <w:rPr>
                <w:rFonts w:ascii="Verdana" w:hAnsi="Verdana"/>
                <w:sz w:val="20"/>
                <w:szCs w:val="20"/>
              </w:rPr>
              <w:t xml:space="preserve"> </w:t>
            </w:r>
            <w:r>
              <w:rPr>
                <w:rFonts w:ascii="Verdana" w:hAnsi="Verdana"/>
                <w:b/>
                <w:bCs/>
                <w:sz w:val="20"/>
                <w:szCs w:val="20"/>
              </w:rPr>
              <w:t>Dimensões:</w:t>
            </w:r>
            <w:r>
              <w:rPr>
                <w:rFonts w:ascii="Verdana" w:hAnsi="Verdana"/>
                <w:sz w:val="20"/>
                <w:szCs w:val="20"/>
              </w:rPr>
              <w:t xml:space="preserve"> Aproximadamente entre 10cm e 18cm (Comprimento).</w:t>
            </w:r>
          </w:p>
          <w:p>
            <w:pPr>
              <w:pStyle w:val="Normal"/>
              <w:spacing w:lineRule="auto" w:line="240"/>
              <w:rPr>
                <w:rFonts w:ascii="Verdana" w:hAnsi="Verdana"/>
                <w:sz w:val="20"/>
                <w:szCs w:val="20"/>
              </w:rPr>
            </w:pPr>
            <w:r>
              <w:rPr>
                <w:rFonts w:ascii="Verdana" w:hAnsi="Verdana"/>
                <w:b/>
                <w:bCs/>
                <w:sz w:val="20"/>
                <w:szCs w:val="20"/>
              </w:rPr>
              <w:t>Conectividade:</w:t>
            </w:r>
            <w:r>
              <w:rPr>
                <w:rFonts w:ascii="Verdana" w:hAnsi="Verdana"/>
                <w:sz w:val="20"/>
                <w:szCs w:val="20"/>
              </w:rPr>
              <w:t xml:space="preserve"> Bluetooth 5.0 ou superior (conexão rápida e sem interrupções com smartphones, tablets e PCs). </w:t>
            </w:r>
          </w:p>
          <w:p>
            <w:pPr>
              <w:pStyle w:val="Normal"/>
              <w:spacing w:lineRule="auto" w:line="240"/>
              <w:rPr>
                <w:rFonts w:ascii="Verdana" w:hAnsi="Verdana"/>
                <w:sz w:val="20"/>
                <w:szCs w:val="20"/>
              </w:rPr>
            </w:pPr>
            <w:r>
              <w:rPr>
                <w:rFonts w:ascii="Verdana" w:hAnsi="Verdana"/>
                <w:b/>
                <w:bCs/>
                <w:sz w:val="20"/>
                <w:szCs w:val="20"/>
              </w:rPr>
              <w:t>Potência Estimada:</w:t>
            </w:r>
            <w:r>
              <w:rPr>
                <w:rFonts w:ascii="Verdana" w:hAnsi="Verdana"/>
                <w:sz w:val="20"/>
                <w:szCs w:val="20"/>
              </w:rPr>
              <w:t xml:space="preserve"> 10W a 20W RMS </w:t>
            </w:r>
          </w:p>
          <w:p>
            <w:pPr>
              <w:pStyle w:val="Normal"/>
              <w:spacing w:lineRule="auto" w:line="240"/>
              <w:rPr>
                <w:rFonts w:ascii="Verdana" w:hAnsi="Verdana"/>
                <w:sz w:val="20"/>
                <w:szCs w:val="20"/>
              </w:rPr>
            </w:pPr>
            <w:r>
              <w:rPr>
                <w:rFonts w:ascii="Verdana" w:hAnsi="Verdana"/>
                <w:b/>
                <w:bCs/>
                <w:sz w:val="20"/>
                <w:szCs w:val="20"/>
              </w:rPr>
              <w:t>Bateria:</w:t>
            </w:r>
            <w:r>
              <w:rPr>
                <w:rFonts w:ascii="Verdana" w:hAnsi="Verdana"/>
                <w:sz w:val="20"/>
                <w:szCs w:val="20"/>
              </w:rPr>
              <w:t xml:space="preserve"> (autonomia média de 4 a 8 horas de reprodução contínua, variando conforme o volume).</w:t>
            </w:r>
          </w:p>
          <w:p>
            <w:pPr>
              <w:pStyle w:val="Normal"/>
              <w:spacing w:lineRule="auto" w:line="240"/>
              <w:rPr>
                <w:rFonts w:ascii="Verdana" w:hAnsi="Verdana"/>
                <w:sz w:val="20"/>
                <w:szCs w:val="20"/>
              </w:rPr>
            </w:pPr>
            <w:r>
              <w:rPr>
                <w:rFonts w:ascii="Verdana" w:hAnsi="Verdana"/>
                <w:b/>
                <w:bCs/>
                <w:sz w:val="20"/>
                <w:szCs w:val="20"/>
              </w:rPr>
              <w:t>Tempo de Carga:</w:t>
            </w:r>
            <w:r>
              <w:rPr>
                <w:rFonts w:ascii="Verdana" w:hAnsi="Verdana"/>
                <w:sz w:val="20"/>
                <w:szCs w:val="20"/>
              </w:rPr>
              <w:t xml:space="preserve"> Cerca de 2,5 a 3 horas via cabo USB-C.</w:t>
            </w:r>
          </w:p>
          <w:p>
            <w:pPr>
              <w:pStyle w:val="Normal"/>
              <w:tabs>
                <w:tab w:val="left" w:pos="720" w:leader="none"/>
              </w:tabs>
              <w:spacing w:lineRule="auto" w:line="240"/>
              <w:rPr>
                <w:rFonts w:ascii="Verdana" w:hAnsi="Verdana"/>
                <w:sz w:val="20"/>
                <w:szCs w:val="20"/>
              </w:rPr>
            </w:pPr>
            <w:r>
              <w:rPr>
                <w:rFonts w:ascii="Verdana" w:hAnsi="Verdana"/>
                <w:b/>
                <w:bCs/>
                <w:sz w:val="20"/>
                <w:szCs w:val="20"/>
              </w:rPr>
              <w:t xml:space="preserve">Entradas Suportadas: </w:t>
            </w:r>
            <w:r>
              <w:rPr>
                <w:rFonts w:ascii="Verdana" w:hAnsi="Verdana"/>
                <w:sz w:val="20"/>
                <w:szCs w:val="20"/>
              </w:rPr>
              <w:t xml:space="preserve">Porta USB (para pen drive). Slot para Cartão Micro SD. Entrada Auxiliar P2 (3.5mm) </w:t>
            </w:r>
          </w:p>
          <w:p>
            <w:pPr>
              <w:pStyle w:val="Normal"/>
              <w:tabs>
                <w:tab w:val="left" w:pos="720" w:leader="none"/>
              </w:tabs>
              <w:spacing w:lineRule="auto" w:line="240"/>
              <w:rPr>
                <w:rFonts w:ascii="Verdana" w:hAnsi="Verdana"/>
                <w:sz w:val="20"/>
                <w:szCs w:val="20"/>
              </w:rPr>
            </w:pPr>
            <w:r>
              <w:rPr>
                <w:rFonts w:ascii="Verdana" w:hAnsi="Verdana"/>
                <w:b/>
                <w:bCs/>
                <w:sz w:val="20"/>
                <w:szCs w:val="20"/>
              </w:rPr>
              <w:t>Proteção contra água:</w:t>
            </w:r>
            <w:r>
              <w:rPr>
                <w:rFonts w:ascii="Verdana" w:hAnsi="Verdana"/>
                <w:sz w:val="20"/>
                <w:szCs w:val="20"/>
              </w:rPr>
              <w:t xml:space="preserve"> Resistência a respingos (IPX4 ou IPX5) — ideal para uso perto da piscina ou chuveiro (não recomendável submergir). </w:t>
            </w:r>
          </w:p>
        </w:tc>
        <w:tc>
          <w:tcPr>
            <w:tcW w:w="914" w:type="dxa"/>
            <w:tcBorders>
              <w:left w:val="single" w:sz="4" w:space="0" w:color="000000"/>
              <w:bottom w:val="single" w:sz="4" w:space="0" w:color="000000"/>
            </w:tcBorders>
          </w:tcPr>
          <w:p>
            <w:pPr>
              <w:pStyle w:val="Normal"/>
              <w:widowControl w:val="false"/>
              <w:pBdr/>
              <w:spacing w:lineRule="auto" w:line="240"/>
              <w:jc w:val="center"/>
              <w:rPr>
                <w:rFonts w:ascii="Verdana" w:hAnsi="Verdana"/>
                <w:sz w:val="20"/>
                <w:szCs w:val="20"/>
              </w:rPr>
            </w:pPr>
            <w:r>
              <w:rPr>
                <w:rFonts w:ascii="Verdana" w:hAnsi="Verdana"/>
                <w:color w:val="000000"/>
                <w:sz w:val="20"/>
                <w:szCs w:val="20"/>
              </w:rPr>
              <w:t>90</w:t>
            </w:r>
          </w:p>
        </w:tc>
        <w:tc>
          <w:tcPr>
            <w:tcW w:w="1006" w:type="dxa"/>
            <w:tcBorders>
              <w:left w:val="single" w:sz="4" w:space="0" w:color="000000"/>
              <w:bottom w:val="single" w:sz="4" w:space="0" w:color="000000"/>
            </w:tcBorders>
          </w:tcPr>
          <w:p>
            <w:pPr>
              <w:pStyle w:val="Normal"/>
              <w:widowControl w:val="false"/>
              <w:spacing w:lineRule="auto" w:line="240"/>
              <w:jc w:val="center"/>
              <w:rPr>
                <w:rFonts w:ascii="Verdana" w:hAnsi="Verdana"/>
                <w:sz w:val="20"/>
                <w:szCs w:val="20"/>
              </w:rPr>
            </w:pPr>
            <w:r>
              <w:rPr>
                <w:rFonts w:ascii="Verdana" w:hAnsi="Verdana"/>
                <w:sz w:val="20"/>
                <w:szCs w:val="20"/>
              </w:rPr>
              <w:t>90</w:t>
            </w:r>
          </w:p>
        </w:tc>
        <w:tc>
          <w:tcPr>
            <w:tcW w:w="1335" w:type="dxa"/>
            <w:tcBorders>
              <w:left w:val="single" w:sz="4" w:space="0" w:color="000000"/>
              <w:bottom w:val="single" w:sz="4" w:space="0" w:color="000000"/>
            </w:tcBorders>
          </w:tcPr>
          <w:p>
            <w:pPr>
              <w:pStyle w:val="Normal"/>
              <w:widowControl w:val="false"/>
              <w:spacing w:lineRule="auto" w:line="240"/>
              <w:rPr>
                <w:rFonts w:ascii="Verdana" w:hAnsi="Verdana"/>
                <w:sz w:val="20"/>
                <w:szCs w:val="20"/>
              </w:rPr>
            </w:pPr>
            <w:r>
              <w:rPr>
                <w:rFonts w:ascii="Verdana" w:hAnsi="Verdana"/>
                <w:color w:val="000000"/>
                <w:sz w:val="20"/>
                <w:szCs w:val="20"/>
              </w:rPr>
              <w:t>R$249,00</w:t>
            </w:r>
          </w:p>
        </w:tc>
        <w:tc>
          <w:tcPr>
            <w:tcW w:w="1874" w:type="dxa"/>
            <w:tcBorders>
              <w:left w:val="single" w:sz="4" w:space="0" w:color="000000"/>
              <w:bottom w:val="single" w:sz="4" w:space="0" w:color="000000"/>
              <w:right w:val="single" w:sz="4" w:space="0" w:color="000000"/>
            </w:tcBorders>
          </w:tcPr>
          <w:p>
            <w:pPr>
              <w:pStyle w:val="Normal"/>
              <w:widowControl w:val="false"/>
              <w:spacing w:lineRule="auto" w:line="240"/>
              <w:rPr>
                <w:rFonts w:ascii="Verdana" w:hAnsi="Verdana"/>
                <w:sz w:val="20"/>
                <w:szCs w:val="20"/>
              </w:rPr>
            </w:pPr>
            <w:r>
              <w:rPr>
                <w:rFonts w:ascii="Verdana" w:hAnsi="Verdana"/>
                <w:color w:val="000000"/>
                <w:sz w:val="20"/>
                <w:szCs w:val="20"/>
              </w:rPr>
              <w:t>R$22.410,00</w:t>
            </w:r>
          </w:p>
        </w:tc>
      </w:tr>
      <w:tr>
        <w:trPr/>
        <w:tc>
          <w:tcPr>
            <w:tcW w:w="7965" w:type="dxa"/>
            <w:gridSpan w:val="5"/>
            <w:tcBorders>
              <w:left w:val="single" w:sz="4" w:space="0" w:color="000000"/>
              <w:bottom w:val="single" w:sz="4" w:space="0" w:color="000000"/>
            </w:tcBorders>
          </w:tcPr>
          <w:p>
            <w:pPr>
              <w:pStyle w:val="Normal"/>
              <w:widowControl w:val="false"/>
              <w:spacing w:lineRule="auto" w:line="240"/>
              <w:rPr>
                <w:rFonts w:ascii="Verdana" w:hAnsi="Verdana"/>
                <w:sz w:val="20"/>
                <w:szCs w:val="20"/>
              </w:rPr>
            </w:pPr>
            <w:r>
              <w:rPr>
                <w:rFonts w:ascii="Verdana" w:hAnsi="Verdana"/>
                <w:b/>
                <w:color w:val="000000"/>
                <w:sz w:val="20"/>
                <w:szCs w:val="20"/>
              </w:rPr>
              <w:t>TOTAL GLOBAL</w:t>
            </w:r>
          </w:p>
        </w:tc>
        <w:tc>
          <w:tcPr>
            <w:tcW w:w="1874" w:type="dxa"/>
            <w:tcBorders>
              <w:left w:val="single" w:sz="4" w:space="0" w:color="000000"/>
              <w:bottom w:val="single" w:sz="4" w:space="0" w:color="000000"/>
              <w:right w:val="single" w:sz="4" w:space="0" w:color="000000"/>
            </w:tcBorders>
          </w:tcPr>
          <w:p>
            <w:pPr>
              <w:pStyle w:val="Normal"/>
              <w:widowControl w:val="false"/>
              <w:spacing w:lineRule="auto" w:line="240"/>
              <w:rPr>
                <w:rFonts w:ascii="Verdana" w:hAnsi="Verdana"/>
                <w:sz w:val="20"/>
                <w:szCs w:val="20"/>
              </w:rPr>
            </w:pPr>
            <w:r>
              <w:rPr>
                <w:rFonts w:ascii="Verdana" w:hAnsi="Verdana"/>
                <w:b/>
                <w:color w:val="000000"/>
                <w:sz w:val="20"/>
                <w:szCs w:val="20"/>
              </w:rPr>
              <w:t>R$82.360,80</w:t>
            </w:r>
          </w:p>
        </w:tc>
      </w:tr>
    </w:tbl>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10. DESCRIÇÃO DA SOLUÇÃO COMO UM TODO</w:t>
      </w:r>
    </w:p>
    <w:p>
      <w:pPr>
        <w:pStyle w:val="Normal"/>
        <w:spacing w:lineRule="auto" w:line="240"/>
        <w:jc w:val="both"/>
        <w:rPr>
          <w:rFonts w:ascii="Verdana" w:hAnsi="Verdana"/>
          <w:sz w:val="20"/>
          <w:szCs w:val="20"/>
        </w:rPr>
      </w:pPr>
      <w:r>
        <w:rPr>
          <w:rFonts w:ascii="Verdana" w:hAnsi="Verdana"/>
          <w:b/>
          <w:sz w:val="20"/>
          <w:szCs w:val="20"/>
        </w:rPr>
        <w:t>10.1</w:t>
      </w:r>
      <w:r>
        <w:rPr>
          <w:rFonts w:ascii="Verdana" w:hAnsi="Verdana"/>
          <w:sz w:val="20"/>
          <w:szCs w:val="20"/>
        </w:rPr>
        <w:t xml:space="preserve"> A solução a ser adotada consiste em aquisição de caixas de som portátil para premiação dos estudantes destaques nas avaliações de desempenho estudantil do governo, que são exames em larga escala realizados pelo Inep/MEC para diagnosticar a qualidade do ensino e as competências adquiridas e tendas para as unidades escolares e Secretaria Municipal de Educação.</w:t>
      </w:r>
    </w:p>
    <w:p>
      <w:pPr>
        <w:pStyle w:val="Normal"/>
        <w:spacing w:lineRule="auto" w:line="240"/>
        <w:jc w:val="both"/>
        <w:rPr>
          <w:rFonts w:ascii="Verdana" w:hAnsi="Verdana"/>
          <w:sz w:val="20"/>
          <w:szCs w:val="20"/>
        </w:rPr>
      </w:pPr>
      <w:r>
        <w:rPr>
          <w:rFonts w:ascii="Verdana" w:hAnsi="Verdana"/>
          <w:b/>
          <w:sz w:val="20"/>
          <w:szCs w:val="20"/>
        </w:rPr>
        <w:t xml:space="preserve">10.2 </w:t>
      </w:r>
      <w:r>
        <w:rPr>
          <w:rFonts w:ascii="Verdana" w:hAnsi="Verdana"/>
          <w:sz w:val="20"/>
          <w:szCs w:val="20"/>
        </w:rPr>
        <w:t>A aquisição deverá obedecer, no que couber, ao disposto na Lei n.º 14.133/2021 e suas alterações.</w:t>
      </w:r>
    </w:p>
    <w:p>
      <w:pPr>
        <w:pStyle w:val="Normal"/>
        <w:spacing w:lineRule="auto" w:line="240"/>
        <w:jc w:val="both"/>
        <w:rPr>
          <w:rFonts w:ascii="Verdana" w:hAnsi="Verdana"/>
          <w:sz w:val="20"/>
          <w:szCs w:val="20"/>
        </w:rPr>
      </w:pPr>
      <w:r>
        <w:rPr>
          <w:rFonts w:ascii="Verdana" w:hAnsi="Verdana"/>
          <w:b/>
          <w:bCs/>
          <w:sz w:val="20"/>
          <w:szCs w:val="20"/>
        </w:rPr>
        <w:t xml:space="preserve">10.3 </w:t>
      </w:r>
      <w:r>
        <w:rPr>
          <w:rFonts w:ascii="Verdana" w:hAnsi="Verdana"/>
          <w:sz w:val="20"/>
          <w:szCs w:val="20"/>
        </w:rPr>
        <w:t>As especificações dos serviços que estão contidas neste Estudo Técnico Preliminar, conforme solicitação de compras em anexo, estão de acordo com os padrões existentes no mercado.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color w:val="000000"/>
          <w:sz w:val="20"/>
          <w:szCs w:val="20"/>
        </w:rPr>
        <w:t>11. JUSTIFICATIVA PARA O PARCELAMENTO OU NÃO DA SOLUÇÃO</w:t>
      </w:r>
    </w:p>
    <w:p>
      <w:pPr>
        <w:pStyle w:val="Normal"/>
        <w:spacing w:lineRule="auto" w:line="240"/>
        <w:ind w:right="-35"/>
        <w:jc w:val="both"/>
        <w:rPr>
          <w:rFonts w:ascii="Verdana" w:hAnsi="Verdana"/>
          <w:sz w:val="20"/>
          <w:szCs w:val="20"/>
        </w:rPr>
      </w:pPr>
      <w:r>
        <w:rPr>
          <w:rFonts w:ascii="Verdana" w:hAnsi="Verdana"/>
          <w:b/>
          <w:sz w:val="20"/>
          <w:szCs w:val="20"/>
        </w:rPr>
        <w:t>11.1.</w:t>
      </w:r>
      <w:r>
        <w:rPr>
          <w:rFonts w:ascii="Verdana" w:hAnsi="Verdana"/>
          <w:sz w:val="20"/>
          <w:szCs w:val="20"/>
        </w:rPr>
        <w:t xml:space="preserve"> O objeto da contratação será composto por </w:t>
      </w:r>
      <w:r>
        <w:rPr>
          <w:rFonts w:ascii="Verdana" w:hAnsi="Verdana"/>
          <w:b/>
          <w:sz w:val="20"/>
          <w:szCs w:val="20"/>
        </w:rPr>
        <w:t>02 itens</w:t>
      </w:r>
      <w:r>
        <w:rPr>
          <w:rFonts w:ascii="Verdana" w:hAnsi="Verdana"/>
          <w:sz w:val="20"/>
          <w:szCs w:val="20"/>
        </w:rPr>
        <w:t xml:space="preserve">, de preço total estimado orçado pelo setor financeiro da Secretaria Municipal de Educação no valor </w:t>
      </w:r>
      <w:r>
        <w:rPr>
          <w:rFonts w:ascii="Verdana" w:hAnsi="Verdana"/>
          <w:b/>
          <w:sz w:val="20"/>
          <w:szCs w:val="20"/>
        </w:rPr>
        <w:t>R$</w:t>
      </w:r>
      <w:r>
        <w:rPr>
          <w:rFonts w:ascii="Verdana" w:hAnsi="Verdana"/>
          <w:b/>
          <w:color w:val="000000"/>
          <w:sz w:val="20"/>
          <w:szCs w:val="20"/>
        </w:rPr>
        <w:t>82.360,80</w:t>
      </w:r>
      <w:r>
        <w:rPr>
          <w:rFonts w:ascii="Verdana" w:hAnsi="Verdana"/>
          <w:b/>
          <w:sz w:val="20"/>
          <w:szCs w:val="20"/>
        </w:rPr>
        <w:t>.</w:t>
      </w:r>
      <w:r>
        <w:rPr>
          <w:rFonts w:ascii="Verdana" w:hAnsi="Verdana"/>
          <w:sz w:val="20"/>
          <w:szCs w:val="20"/>
        </w:rPr>
        <w:t xml:space="preserve"> Para fins de classificação, será considerado o menor preço </w:t>
      </w:r>
      <w:r>
        <w:rPr>
          <w:rFonts w:ascii="Verdana" w:hAnsi="Verdana"/>
          <w:b/>
          <w:sz w:val="20"/>
          <w:szCs w:val="20"/>
        </w:rPr>
        <w:t>unitário</w:t>
      </w:r>
      <w:r>
        <w:rPr>
          <w:rFonts w:ascii="Verdana" w:hAnsi="Verdana"/>
          <w:sz w:val="20"/>
          <w:szCs w:val="20"/>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12. RESULTADOS PRETENDIDOS COM A CONTRATAÇÃO</w:t>
      </w:r>
    </w:p>
    <w:p>
      <w:pPr>
        <w:pStyle w:val="Normal"/>
        <w:spacing w:lineRule="auto" w:line="240"/>
        <w:jc w:val="both"/>
        <w:rPr>
          <w:rFonts w:ascii="Verdana" w:hAnsi="Verdana"/>
          <w:sz w:val="20"/>
          <w:szCs w:val="20"/>
        </w:rPr>
      </w:pPr>
      <w:r>
        <w:rPr>
          <w:rFonts w:ascii="Verdana" w:hAnsi="Verdana"/>
          <w:b/>
          <w:sz w:val="20"/>
          <w:szCs w:val="20"/>
        </w:rPr>
        <w:t>12.1</w:t>
      </w:r>
      <w:r>
        <w:rPr>
          <w:rFonts w:ascii="Verdana" w:hAnsi="Verdana"/>
          <w:sz w:val="20"/>
          <w:szCs w:val="20"/>
        </w:rPr>
        <w:t xml:space="preserve"> Com a aquisição, buscaremos atender as demandas escolares e da Secretaria Municipal de Educação, visando a premiação dos estudantes destaque nas avaliações de desempenho estudantil do governo são exames em larga escala realizados pelo Inep/MEC para diagnosticar a qualidade do ensino e as competências adquiridas e garantir um bom atendimento e realização de eventos pedagógicos dos estudantes com estruturas de cobertura móvel para proteção física de alunos, professores e comunidade escolar.</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13. PROVIDÊNCIAS A SEREM ADOTADAS</w:t>
      </w:r>
    </w:p>
    <w:p>
      <w:pPr>
        <w:pStyle w:val="Normal"/>
        <w:spacing w:lineRule="auto" w:line="240"/>
        <w:jc w:val="both"/>
        <w:rPr>
          <w:rFonts w:ascii="Verdana" w:hAnsi="Verdana"/>
          <w:sz w:val="20"/>
          <w:szCs w:val="20"/>
        </w:rPr>
      </w:pPr>
      <w:r>
        <w:rPr>
          <w:rFonts w:ascii="Verdana" w:hAnsi="Verdana"/>
          <w:b/>
          <w:sz w:val="20"/>
          <w:szCs w:val="20"/>
        </w:rPr>
        <w:t>13.1.</w:t>
      </w:r>
      <w:r>
        <w:rPr>
          <w:rFonts w:ascii="Verdana" w:hAnsi="Verdana"/>
          <w:sz w:val="20"/>
          <w:szCs w:val="20"/>
        </w:rPr>
        <w:t xml:space="preserve"> A Secretaria Municipal de Educação deverá acompanhar, fiscalizar, comprovar e relatar, por escrito, as eventuais irregularidades na entrega dos equipamentos.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14. CONTRATAÇÕES CORRELATAS E/OU INTERDEPENDENTES</w:t>
      </w:r>
    </w:p>
    <w:p>
      <w:pPr>
        <w:pStyle w:val="Normal"/>
        <w:spacing w:lineRule="auto" w:line="240"/>
        <w:jc w:val="both"/>
        <w:rPr>
          <w:rFonts w:ascii="Verdana" w:hAnsi="Verdana"/>
          <w:sz w:val="20"/>
          <w:szCs w:val="20"/>
        </w:rPr>
      </w:pPr>
      <w:r>
        <w:rPr>
          <w:rFonts w:ascii="Verdana" w:hAnsi="Verdana"/>
          <w:b/>
          <w:sz w:val="20"/>
          <w:szCs w:val="20"/>
        </w:rPr>
        <w:t>14.1.</w:t>
      </w:r>
      <w:r>
        <w:rPr>
          <w:rFonts w:ascii="Verdana" w:hAnsi="Verdana"/>
          <w:sz w:val="20"/>
          <w:szCs w:val="20"/>
        </w:rPr>
        <w:t xml:space="preserve"> Não se verificam contratações correlatas ou interdependentes para a viabilidade e contratação desta demanda.</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15. POSSÍVEIS IMPACTOS AMBIENTAIS</w:t>
      </w:r>
    </w:p>
    <w:p>
      <w:pPr>
        <w:pStyle w:val="Normal"/>
        <w:spacing w:lineRule="auto" w:line="240"/>
        <w:jc w:val="both"/>
        <w:rPr>
          <w:rFonts w:ascii="Verdana" w:hAnsi="Verdana"/>
          <w:sz w:val="20"/>
          <w:szCs w:val="20"/>
        </w:rPr>
      </w:pPr>
      <w:r>
        <w:rPr>
          <w:rFonts w:ascii="Verdana" w:hAnsi="Verdana"/>
          <w:b/>
          <w:sz w:val="20"/>
          <w:szCs w:val="20"/>
        </w:rPr>
        <w:t xml:space="preserve">15.1. </w:t>
      </w:r>
      <w:r>
        <w:rPr>
          <w:rFonts w:ascii="Verdana" w:hAnsi="Verdana"/>
          <w:sz w:val="20"/>
          <w:szCs w:val="20"/>
        </w:rPr>
        <w:t>Não haverá danos ao meio ambiente</w:t>
      </w:r>
      <w:r>
        <w:rPr>
          <w:rFonts w:ascii="Verdana" w:hAnsi="Verdana"/>
          <w:b/>
          <w:sz w:val="20"/>
          <w:szCs w:val="20"/>
        </w:rPr>
        <w:t>.</w:t>
      </w:r>
      <w:r>
        <w:rPr>
          <w:rFonts w:ascii="Verdana" w:hAnsi="Verdana"/>
          <w:sz w:val="20"/>
          <w:szCs w:val="20"/>
        </w:rPr>
        <w:t xml:space="preserve">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16. DECLARAÇÃO E JUSTIFICATIVA DA VIABILIDADE</w:t>
      </w:r>
    </w:p>
    <w:p>
      <w:pPr>
        <w:pStyle w:val="Normal"/>
        <w:spacing w:lineRule="auto" w:line="240"/>
        <w:jc w:val="both"/>
        <w:rPr>
          <w:rFonts w:ascii="Verdana" w:hAnsi="Verdana"/>
          <w:sz w:val="20"/>
          <w:szCs w:val="20"/>
        </w:rPr>
      </w:pPr>
      <w:r>
        <w:rPr>
          <w:rFonts w:ascii="Verdana" w:hAnsi="Verdana"/>
          <w:b/>
          <w:sz w:val="20"/>
          <w:szCs w:val="20"/>
        </w:rPr>
        <w:t xml:space="preserve">16.1. </w:t>
      </w:r>
      <w:r>
        <w:rPr>
          <w:rFonts w:ascii="Verdana" w:hAnsi="Verdana"/>
          <w:sz w:val="20"/>
          <w:szCs w:val="20"/>
        </w:rPr>
        <w:t>Considerando que a Secretaria de Educação realiza o Evento de Premiação anual dos estudantes destaques nas avaliações de desempenho estudantil do</w:t>
      </w:r>
      <w:r>
        <w:rPr>
          <w:rFonts w:ascii="Verdana" w:hAnsi="Verdana"/>
          <w:b/>
          <w:bCs/>
          <w:sz w:val="20"/>
          <w:szCs w:val="20"/>
        </w:rPr>
        <w:t xml:space="preserve"> Inep/MEC </w:t>
      </w:r>
      <w:r>
        <w:rPr>
          <w:rFonts w:ascii="Verdana" w:hAnsi="Verdana"/>
          <w:sz w:val="20"/>
          <w:szCs w:val="20"/>
        </w:rPr>
        <w:t>tais como</w:t>
      </w:r>
      <w:r>
        <w:rPr>
          <w:rFonts w:ascii="Verdana" w:hAnsi="Verdana"/>
          <w:b/>
          <w:bCs/>
          <w:sz w:val="20"/>
          <w:szCs w:val="20"/>
        </w:rPr>
        <w:t xml:space="preserve"> (Saeb (Sistema de Avaliação da Educação Básica, PAEBES), </w:t>
      </w:r>
      <w:r>
        <w:rPr>
          <w:rFonts w:ascii="Verdana" w:hAnsi="Verdana"/>
          <w:sz w:val="20"/>
          <w:szCs w:val="20"/>
        </w:rPr>
        <w:t>e a premiação escolar é uma estratégia eficaz para engajar estudantes, validando a superação (evolução pessoal) e oferecer também estruturas de cobertura móvel para proteção física de alunos, professores e comunidade escolar.</w:t>
      </w:r>
    </w:p>
    <w:p>
      <w:pPr>
        <w:pStyle w:val="Normal"/>
        <w:spacing w:lineRule="auto" w:line="240"/>
        <w:jc w:val="both"/>
        <w:rPr>
          <w:rFonts w:ascii="Verdana" w:hAnsi="Verdana"/>
          <w:sz w:val="20"/>
          <w:szCs w:val="20"/>
        </w:rPr>
      </w:pPr>
      <w:r>
        <w:rPr>
          <w:rFonts w:ascii="Verdana" w:hAnsi="Verdana"/>
          <w:b/>
          <w:bCs/>
          <w:sz w:val="20"/>
          <w:szCs w:val="20"/>
        </w:rPr>
        <w:t>16.2</w:t>
      </w:r>
      <w:r>
        <w:rPr>
          <w:rFonts w:ascii="Verdana" w:hAnsi="Verdana"/>
          <w:sz w:val="20"/>
          <w:szCs w:val="20"/>
        </w:rPr>
        <w:t xml:space="preserve">. Considerando ainda que os resultados das </w:t>
      </w:r>
      <w:r>
        <w:rPr>
          <w:rFonts w:ascii="Verdana" w:hAnsi="Verdana"/>
          <w:b/>
          <w:bCs/>
          <w:sz w:val="20"/>
          <w:szCs w:val="20"/>
        </w:rPr>
        <w:t>provas externas</w:t>
      </w:r>
      <w:r>
        <w:rPr>
          <w:rFonts w:ascii="Verdana" w:hAnsi="Verdana"/>
          <w:sz w:val="20"/>
          <w:szCs w:val="20"/>
        </w:rPr>
        <w:t xml:space="preserve"> (como o SAEB) e o </w:t>
      </w:r>
      <w:r>
        <w:rPr>
          <w:rFonts w:ascii="Verdana" w:hAnsi="Verdana"/>
          <w:b/>
          <w:bCs/>
          <w:sz w:val="20"/>
          <w:szCs w:val="20"/>
        </w:rPr>
        <w:t>IDEB</w:t>
      </w:r>
      <w:r>
        <w:rPr>
          <w:rFonts w:ascii="Verdana" w:hAnsi="Verdana"/>
          <w:sz w:val="20"/>
          <w:szCs w:val="20"/>
        </w:rPr>
        <w:t xml:space="preserve"> (Índice de Desenvolvimento da Educação Básica) são essenciais para diagnosticar a qualidade do ensino e orientar políticas públicas, e que funcionam como um termômetro que direciona a </w:t>
      </w:r>
      <w:r>
        <w:rPr>
          <w:rFonts w:ascii="Verdana" w:hAnsi="Verdana"/>
          <w:b/>
          <w:bCs/>
          <w:sz w:val="20"/>
          <w:szCs w:val="20"/>
        </w:rPr>
        <w:t>alocação de recursos financeiros</w:t>
      </w:r>
      <w:r>
        <w:rPr>
          <w:rFonts w:ascii="Verdana" w:hAnsi="Verdana"/>
          <w:sz w:val="20"/>
          <w:szCs w:val="20"/>
        </w:rPr>
        <w:t>, conectando os resultados do aprendizado aos investimentos nas escolas.</w:t>
      </w:r>
    </w:p>
    <w:p>
      <w:pPr>
        <w:pStyle w:val="Normal"/>
        <w:spacing w:lineRule="auto" w:line="240"/>
        <w:rPr>
          <w:rFonts w:ascii="Verdana" w:hAnsi="Verdana"/>
          <w:sz w:val="20"/>
          <w:szCs w:val="20"/>
        </w:rPr>
      </w:pPr>
      <w:r>
        <w:rPr>
          <w:rFonts w:ascii="Verdana" w:hAnsi="Verdana"/>
          <w:sz w:val="20"/>
          <w:szCs w:val="20"/>
        </w:rPr>
      </w:r>
    </w:p>
    <w:p>
      <w:pPr>
        <w:pStyle w:val="Normal"/>
        <w:spacing w:lineRule="auto" w:line="240"/>
        <w:jc w:val="right"/>
        <w:rPr>
          <w:rFonts w:ascii="Verdana" w:hAnsi="Verdana"/>
          <w:sz w:val="20"/>
          <w:szCs w:val="20"/>
        </w:rPr>
      </w:pPr>
      <w:r>
        <w:rPr>
          <w:rFonts w:ascii="Verdana" w:hAnsi="Verdana"/>
          <w:sz w:val="20"/>
          <w:szCs w:val="20"/>
        </w:rPr>
        <w:t xml:space="preserve">São Gabriel da Palha, 08 de junho de 2026. </w:t>
      </w:r>
    </w:p>
    <w:p>
      <w:pPr>
        <w:pStyle w:val="Normal"/>
        <w:spacing w:lineRule="auto" w:line="240"/>
        <w:jc w:val="right"/>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17. RESPONSÁVEIS</w:t>
      </w:r>
    </w:p>
    <w:p>
      <w:pPr>
        <w:pStyle w:val="Normal"/>
        <w:spacing w:lineRule="auto" w:line="240"/>
        <w:jc w:val="both"/>
        <w:rPr>
          <w:rFonts w:ascii="Verdana" w:hAnsi="Verdana"/>
          <w:b/>
          <w:sz w:val="20"/>
          <w:szCs w:val="20"/>
        </w:rPr>
      </w:pPr>
      <w:r>
        <w:rPr>
          <w:rFonts w:ascii="Verdana" w:hAnsi="Verdana"/>
          <w:b/>
          <w:sz w:val="20"/>
          <w:szCs w:val="20"/>
        </w:rPr>
      </w:r>
    </w:p>
    <w:tbl>
      <w:tblPr>
        <w:tblStyle w:val="a0"/>
        <w:tblW w:w="9745"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4873"/>
        <w:gridCol w:w="4871"/>
      </w:tblGrid>
      <w:tr>
        <w:trPr/>
        <w:tc>
          <w:tcPr>
            <w:tcW w:w="4873" w:type="dxa"/>
            <w:tcBorders/>
          </w:tcPr>
          <w:p>
            <w:pPr>
              <w:pStyle w:val="Normal"/>
              <w:widowControl w:val="false"/>
              <w:spacing w:lineRule="auto" w:line="240"/>
              <w:jc w:val="both"/>
              <w:rPr>
                <w:rFonts w:ascii="Verdana" w:hAnsi="Verdana"/>
                <w:sz w:val="20"/>
                <w:szCs w:val="20"/>
              </w:rPr>
            </w:pPr>
            <w:r>
              <w:rPr>
                <w:rFonts w:ascii="Verdana" w:hAnsi="Verdana"/>
                <w:b/>
                <w:color w:val="000000"/>
                <w:sz w:val="20"/>
                <w:szCs w:val="20"/>
              </w:rPr>
              <w:t>Elaborado por:</w:t>
            </w:r>
          </w:p>
          <w:p>
            <w:pPr>
              <w:pStyle w:val="Normal"/>
              <w:widowControl w:val="false"/>
              <w:spacing w:lineRule="auto" w:line="240"/>
              <w:jc w:val="both"/>
              <w:rPr>
                <w:rFonts w:ascii="Verdana" w:hAnsi="Verdana" w:eastAsia="Liberation Serif" w:cs="Liberation Serif"/>
                <w:b/>
                <w:sz w:val="20"/>
                <w:szCs w:val="20"/>
              </w:rPr>
            </w:pPr>
            <w:r>
              <w:rPr>
                <w:rFonts w:eastAsia="Liberation Serif" w:cs="Liberation Serif" w:ascii="Verdana" w:hAnsi="Verdana"/>
                <w:b/>
                <w:sz w:val="20"/>
                <w:szCs w:val="20"/>
              </w:rPr>
            </w:r>
          </w:p>
        </w:tc>
        <w:tc>
          <w:tcPr>
            <w:tcW w:w="4871" w:type="dxa"/>
            <w:tcBorders/>
          </w:tcPr>
          <w:p>
            <w:pPr>
              <w:pStyle w:val="Normal"/>
              <w:widowControl w:val="false"/>
              <w:spacing w:lineRule="auto" w:line="240"/>
              <w:rPr>
                <w:rFonts w:ascii="Verdana" w:hAnsi="Verdana"/>
                <w:sz w:val="20"/>
                <w:szCs w:val="20"/>
              </w:rPr>
            </w:pPr>
            <w:r>
              <w:rPr>
                <w:rFonts w:ascii="Verdana" w:hAnsi="Verdana"/>
                <w:b/>
                <w:color w:val="000000"/>
                <w:sz w:val="20"/>
                <w:szCs w:val="20"/>
              </w:rPr>
              <w:t>Autorizado por:</w:t>
            </w:r>
          </w:p>
        </w:tc>
      </w:tr>
      <w:tr>
        <w:trPr/>
        <w:tc>
          <w:tcPr>
            <w:tcW w:w="4873" w:type="dxa"/>
            <w:tcBorders/>
          </w:tcPr>
          <w:p>
            <w:pPr>
              <w:pStyle w:val="Normal"/>
              <w:spacing w:lineRule="auto" w:line="240"/>
              <w:rPr>
                <w:rFonts w:ascii="Verdana" w:hAnsi="Verdana"/>
                <w:sz w:val="20"/>
                <w:szCs w:val="20"/>
              </w:rPr>
            </w:pPr>
            <w:r>
              <w:rPr>
                <w:rFonts w:eastAsia="Arial" w:cs="Arial" w:ascii="Verdana" w:hAnsi="Verdana"/>
                <w:b/>
                <w:sz w:val="20"/>
                <w:szCs w:val="20"/>
              </w:rPr>
              <w:t xml:space="preserve">Rafaela Kruger Curitiba </w:t>
            </w:r>
          </w:p>
          <w:p>
            <w:pPr>
              <w:pStyle w:val="Normal"/>
              <w:spacing w:lineRule="auto" w:line="240"/>
              <w:rPr>
                <w:rFonts w:ascii="Verdana" w:hAnsi="Verdana"/>
                <w:sz w:val="20"/>
                <w:szCs w:val="20"/>
              </w:rPr>
            </w:pPr>
            <w:r>
              <w:rPr>
                <w:rFonts w:eastAsia="Arial" w:cs="Arial" w:ascii="Verdana" w:hAnsi="Verdana"/>
                <w:sz w:val="20"/>
                <w:szCs w:val="20"/>
              </w:rPr>
              <w:t>Auxiliar de Secretaria</w:t>
            </w:r>
          </w:p>
          <w:p>
            <w:pPr>
              <w:pStyle w:val="Normal"/>
              <w:spacing w:lineRule="auto" w:line="240"/>
              <w:rPr>
                <w:rFonts w:ascii="Verdana" w:hAnsi="Verdana"/>
                <w:sz w:val="20"/>
                <w:szCs w:val="20"/>
              </w:rPr>
            </w:pPr>
            <w:r>
              <w:rPr>
                <w:rFonts w:eastAsia="Arial" w:cs="Arial" w:ascii="Verdana" w:hAnsi="Verdana"/>
                <w:sz w:val="20"/>
                <w:szCs w:val="20"/>
              </w:rPr>
              <w:t>Mat. nº4046</w:t>
            </w:r>
          </w:p>
        </w:tc>
        <w:tc>
          <w:tcPr>
            <w:tcW w:w="4871" w:type="dxa"/>
            <w:tcBorders/>
          </w:tcPr>
          <w:p>
            <w:pPr>
              <w:pStyle w:val="Normal"/>
              <w:spacing w:lineRule="auto" w:line="240"/>
              <w:rPr>
                <w:rFonts w:ascii="Verdana" w:hAnsi="Verdana"/>
                <w:sz w:val="20"/>
                <w:szCs w:val="20"/>
              </w:rPr>
            </w:pPr>
            <w:r>
              <w:rPr>
                <w:rFonts w:eastAsia="Arial" w:cs="Arial" w:ascii="Verdana" w:hAnsi="Verdana"/>
                <w:b/>
                <w:sz w:val="20"/>
                <w:szCs w:val="20"/>
              </w:rPr>
              <w:t>JANE LISLIE MARTINELLI DOS SANTOS</w:t>
            </w:r>
          </w:p>
          <w:p>
            <w:pPr>
              <w:pStyle w:val="Normal"/>
              <w:spacing w:lineRule="auto" w:line="240"/>
              <w:rPr>
                <w:rFonts w:ascii="Verdana" w:hAnsi="Verdana"/>
                <w:sz w:val="20"/>
                <w:szCs w:val="20"/>
              </w:rPr>
            </w:pPr>
            <w:r>
              <w:rPr>
                <w:rFonts w:eastAsia="Arial" w:cs="Arial" w:ascii="Verdana" w:hAnsi="Verdana"/>
                <w:sz w:val="20"/>
                <w:szCs w:val="20"/>
              </w:rPr>
              <w:t>Secretária Municipal de Educação</w:t>
            </w:r>
          </w:p>
          <w:p>
            <w:pPr>
              <w:pStyle w:val="Normal"/>
              <w:widowControl w:val="false"/>
              <w:tabs>
                <w:tab w:val="clear" w:pos="720"/>
                <w:tab w:val="left" w:pos="0" w:leader="none"/>
              </w:tabs>
              <w:spacing w:lineRule="auto" w:line="240"/>
              <w:rPr>
                <w:rFonts w:ascii="Verdana" w:hAnsi="Verdana"/>
                <w:sz w:val="20"/>
                <w:szCs w:val="20"/>
              </w:rPr>
            </w:pPr>
            <w:r>
              <w:rPr>
                <w:rFonts w:eastAsia="Arial" w:cs="Arial" w:ascii="Verdana" w:hAnsi="Verdana"/>
                <w:sz w:val="20"/>
                <w:szCs w:val="20"/>
              </w:rPr>
              <w:t xml:space="preserve"> </w:t>
            </w:r>
            <w:r>
              <w:rPr>
                <w:rFonts w:eastAsia="Arial" w:cs="Arial" w:ascii="Verdana" w:hAnsi="Verdana"/>
                <w:sz w:val="20"/>
                <w:szCs w:val="20"/>
              </w:rPr>
              <w:t>Decreto nº 4.675/2025.</w:t>
            </w:r>
          </w:p>
          <w:p>
            <w:pPr>
              <w:pStyle w:val="Normal"/>
              <w:widowControl w:val="false"/>
              <w:pBdr/>
              <w:spacing w:lineRule="auto" w:line="240"/>
              <w:rPr>
                <w:rFonts w:ascii="Verdana" w:hAnsi="Verdana" w:eastAsia="Liberation Serif" w:cs="Liberation Serif"/>
                <w:sz w:val="20"/>
                <w:szCs w:val="20"/>
              </w:rPr>
            </w:pPr>
            <w:r>
              <w:rPr>
                <w:rFonts w:eastAsia="Liberation Serif" w:cs="Liberation Serif" w:ascii="Verdana" w:hAnsi="Verdana"/>
                <w:sz w:val="20"/>
                <w:szCs w:val="20"/>
              </w:rPr>
            </w:r>
          </w:p>
        </w:tc>
      </w:tr>
      <w:tr>
        <w:trPr/>
        <w:tc>
          <w:tcPr>
            <w:tcW w:w="4873" w:type="dxa"/>
            <w:tcBorders/>
          </w:tcPr>
          <w:p>
            <w:pPr>
              <w:pStyle w:val="Normal"/>
              <w:widowControl w:val="false"/>
              <w:spacing w:lineRule="auto" w:line="240"/>
              <w:jc w:val="center"/>
              <w:rPr>
                <w:rFonts w:ascii="Verdana" w:hAnsi="Verdana"/>
                <w:sz w:val="20"/>
                <w:szCs w:val="20"/>
              </w:rPr>
            </w:pPr>
            <w:r>
              <w:rPr>
                <w:rFonts w:ascii="Verdana" w:hAnsi="Verdana"/>
                <w:sz w:val="20"/>
                <w:szCs w:val="20"/>
              </w:rPr>
            </w:r>
          </w:p>
        </w:tc>
        <w:tc>
          <w:tcPr>
            <w:tcW w:w="4871" w:type="dxa"/>
            <w:tcBorders/>
          </w:tcPr>
          <w:p>
            <w:pPr>
              <w:pStyle w:val="Normal"/>
              <w:widowControl w:val="false"/>
              <w:tabs>
                <w:tab w:val="clear" w:pos="720"/>
                <w:tab w:val="left" w:pos="0" w:leader="none"/>
              </w:tabs>
              <w:spacing w:lineRule="auto" w:line="240"/>
              <w:jc w:val="center"/>
              <w:rPr>
                <w:rFonts w:ascii="Verdana" w:hAnsi="Verdana"/>
                <w:sz w:val="20"/>
                <w:szCs w:val="20"/>
              </w:rPr>
            </w:pPr>
            <w:r>
              <w:rPr>
                <w:rFonts w:ascii="Verdana" w:hAnsi="Verdana"/>
                <w:sz w:val="20"/>
                <w:szCs w:val="20"/>
              </w:rPr>
            </w:r>
          </w:p>
        </w:tc>
      </w:tr>
    </w:tbl>
    <w:p>
      <w:pPr>
        <w:pStyle w:val="Normal"/>
        <w:spacing w:lineRule="auto" w:line="240"/>
        <w:jc w:val="both"/>
        <w:rPr>
          <w:rFonts w:ascii="Verdana" w:hAnsi="Verdana"/>
          <w:b/>
          <w:color w:val="0000FF"/>
          <w:sz w:val="20"/>
          <w:szCs w:val="20"/>
        </w:rPr>
      </w:pPr>
      <w:r>
        <w:rPr>
          <w:rFonts w:ascii="Verdana" w:hAnsi="Verdana"/>
          <w:b/>
          <w:color w:val="0000FF"/>
          <w:sz w:val="20"/>
          <w:szCs w:val="20"/>
        </w:rPr>
      </w:r>
    </w:p>
    <w:sectPr>
      <w:headerReference w:type="even" r:id="rId3"/>
      <w:headerReference w:type="default" r:id="rId4"/>
      <w:headerReference w:type="first" r:id="rId5"/>
      <w:footerReference w:type="even" r:id="rId6"/>
      <w:footerReference w:type="default" r:id="rId7"/>
      <w:footerReference w:type="first" r:id="rId8"/>
      <w:type w:val="nextPage"/>
      <w:pgSz w:w="11906" w:h="16838"/>
      <w:pgMar w:left="1080" w:right="1080" w:gutter="0" w:header="850" w:top="1440" w:footer="850" w:bottom="2003"/>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Symbol">
    <w:charset w:val="00"/>
    <w:family w:val="roman"/>
    <w:pitch w:val="variable"/>
    <w:embedRegular r:id="rId5" w:fontKey="{05014A78-CABC-4EF0-12AC-5CD89AEFDE05}"/>
  </w:font>
  <w:font w:name="Courier New">
    <w:charset w:val="00"/>
    <w:family w:val="roman"/>
    <w:pitch w:val="variable"/>
    <w:embedRegular r:id="rId14" w:fontKey="{0E014A78-CABC-4EF0-12AC-5CD89AEFDE0E}"/>
  </w:font>
  <w:font w:name="Tahoma">
    <w:charset w:val="00"/>
    <w:family w:val="roman"/>
    <w:pitch w:val="variable"/>
    <w:embedRegular r:id="rId15" w:fontKey="{0F014A78-CABC-4EF0-12AC-5CD89AEFDE0F}"/>
  </w:font>
  <w:font w:name="Liberation Sans">
    <w:altName w:val="Arial"/>
    <w:charset w:val="00"/>
    <w:family w:val="roman"/>
    <w:pitch w:val="variable"/>
    <w:embedRegular r:id="rId16" w:fontKey="{10014A78-CABC-4EF0-12AC-5CD89AEFDE10}"/>
  </w:font>
  <w:font w:name="OpenSymbol">
    <w:altName w:val="Arial Unicode MS"/>
    <w:charset w:val="00"/>
    <w:family w:val="roman"/>
    <w:pitch w:val="variable"/>
    <w:embedRegular r:id="rId17" w:fontKey="{11014A78-CABC-4EF0-12AC-5CD89AEFDE11}"/>
    <w:embedBold r:id="rId18" w:fontKey="{12014A78-CABC-4EF0-12AC-5CD89AEFDE12}"/>
  </w:font>
  <w:font w:name="Liberation Sans">
    <w:altName w:val="Arial"/>
    <w:charset w:val="00"/>
    <w:family w:val="swiss"/>
    <w:pitch w:val="variable"/>
    <w:embedRegular r:id="rId19" w:fontKey="{13014A78-CABC-4EF0-12AC-5CD89AEFDE13}"/>
    <w:embedBold r:id="rId20" w:fontKey="{14014A78-CABC-4EF0-12AC-5CD89AEFDE14}"/>
    <w:embedItalic r:id="rId21" w:fontKey="{15014A78-CABC-4EF0-12AC-5CD89AEFDE15}"/>
    <w:embedBoldItalic r:id="rId16" w:fontKey="{10014A78-CABC-4EF0-12AC-5CD89AEFDE10}"/>
  </w:font>
  <w:font w:name="Arial">
    <w:charset w:val="00"/>
    <w:family w:val="roman"/>
    <w:pitch w:val="variable"/>
  </w:font>
  <w:font w:name="Calibri">
    <w:charset w:val="00"/>
    <w:family w:val="roman"/>
    <w:pitch w:val="variable"/>
    <w:embedRegular r:id="rId22" w:fontKey="{16014A78-CABC-4EF0-12AC-5CD89AEFDE16}"/>
  </w:font>
  <w:font w:name="IPMDOI+TimesNewRoman">
    <w:charset w:val="00"/>
    <w:family w:val="roman"/>
    <w:pitch w:val="variable"/>
  </w:font>
  <w:font w:name="Univers 45 Light">
    <w:charset w:val="00"/>
    <w:family w:val="roman"/>
    <w:pitch w:val="variable"/>
  </w:font>
  <w:font w:name="Georgia">
    <w:charset w:val="00"/>
    <w:family w:val="roman"/>
    <w:pitch w:val="variable"/>
    <w:embedRegular r:id="rId23" w:fontKey="{17014A78-CABC-4EF0-12AC-5CD89AEFDE17}"/>
    <w:embedBold r:id="rId24" w:fontKey="{18014A78-CABC-4EF0-12AC-5CD89AEFDE18}"/>
    <w:embedItalic r:id="rId25" w:fontKey="{19014A78-CABC-4EF0-12AC-5CD89AEFDE19}"/>
    <w:embedBoldItalic r:id="rId26" w:fontKey="{1A014A78-CABC-4EF0-12AC-5CD89AEFDE1A}"/>
  </w:font>
  <w:font w:name="Verdana">
    <w:charset w:val="01"/>
    <w:family w:val="swiss"/>
    <w:pitch w:val="variable"/>
    <w:embedRegular r:id="rId27" w:fontKey="{1B014A78-CABC-4EF0-12AC-5CD89AEFDE1B}"/>
    <w:embedBold r:id="rId28" w:fontKey="{1C014A78-CABC-4EF0-12AC-5CD89AEFDE1C}"/>
    <w:embedItalic r:id="rId29" w:fontKey="{1D014A78-CABC-4EF0-12AC-5CD89AEFDE1D}"/>
    <w:embedBoldItalic r:id="rId30" w:fontKey="{1E014A78-CABC-4EF0-12AC-5CD89AEFDE1E}"/>
  </w:font>
  <w:font w:name="Verdana">
    <w:charset w:val="00"/>
    <w:family w:val="roman"/>
    <w:pitch w:val="variable"/>
  </w:font>
  <w:font w:name="Arial Narrow">
    <w:charset w:val="00"/>
    <w:family w:val="roman"/>
    <w:pitch w:val="variable"/>
    <w:embedRegular r:id="rId31" w:fontKey="{1F014A78-CABC-4EF0-12AC-5CD89AEFDE1F}"/>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1" w:color="000000"/>
      </w:pBdr>
      <w:jc w:val="center"/>
      <w:rPr>
        <w:rFonts w:ascii="Verdana" w:hAnsi="Verdana" w:eastAsia="Verdana" w:cs="Verdana"/>
        <w:sz w:val="16"/>
        <w:szCs w:val="16"/>
      </w:rPr>
    </w:pPr>
    <w:r>
      <w:rPr>
        <w:rFonts w:eastAsia="Verdana" w:cs="Verdana" w:ascii="Verdana" w:hAnsi="Verdana"/>
        <w:sz w:val="16"/>
        <w:szCs w:val="16"/>
      </w:rPr>
      <w:t>Praça Vicente Glazar, 159 | Bairro Glória | São Gabriel da Palha-ES | CEP 29780 000</w:t>
    </w:r>
  </w:p>
  <w:p>
    <w:pPr>
      <w:pStyle w:val="Normal"/>
      <w:pBdr>
        <w:top w:val="single" w:sz="4" w:space="1" w:color="000000"/>
      </w:pBdr>
      <w:jc w:val="center"/>
      <w:rPr>
        <w:rFonts w:ascii="Verdana" w:hAnsi="Verdana" w:eastAsia="Verdana" w:cs="Verdana"/>
        <w:color w:val="0000FF"/>
        <w:sz w:val="16"/>
        <w:szCs w:val="16"/>
      </w:rPr>
    </w:pPr>
    <w:r>
      <w:rPr>
        <w:rFonts w:eastAsia="Verdana" w:cs="Verdana" w:ascii="Verdana" w:hAnsi="Verdana"/>
        <w:sz w:val="16"/>
        <w:szCs w:val="16"/>
      </w:rPr>
      <w:t>Fone 99574-4758| E-mail:</w:t>
    </w:r>
    <w:r>
      <w:rPr>
        <w:rFonts w:eastAsia="Verdana" w:cs="Verdana" w:ascii="Verdana" w:hAnsi="Verdana"/>
        <w:color w:val="0000FF"/>
        <w:sz w:val="16"/>
        <w:szCs w:val="16"/>
      </w:rPr>
      <w:t xml:space="preserve"> </w:t>
    </w:r>
    <w:hyperlink r:id="rId1">
      <w:r>
        <w:rPr>
          <w:rStyle w:val="Hyperlink"/>
          <w:rFonts w:eastAsia="Verdana" w:cs="Verdana" w:ascii="Verdana" w:hAnsi="Verdana"/>
          <w:sz w:val="16"/>
          <w:szCs w:val="16"/>
        </w:rPr>
        <w:t>semecsgp@gmail.com</w:t>
      </w:r>
    </w:hyperlink>
    <w:r>
      <w:rPr>
        <w:rFonts w:eastAsia="Verdana" w:cs="Verdana" w:ascii="Verdana" w:hAnsi="Verdana"/>
        <w:color w:val="0000FF"/>
        <w:sz w:val="16"/>
        <w:szCs w:val="16"/>
      </w:rPr>
      <w:t xml:space="preserve"> / financeirosemecsgp@gmail.com</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1" w:color="000000"/>
      </w:pBdr>
      <w:jc w:val="center"/>
      <w:rPr>
        <w:rFonts w:ascii="Verdana" w:hAnsi="Verdana" w:eastAsia="Verdana" w:cs="Verdana"/>
        <w:sz w:val="16"/>
        <w:szCs w:val="16"/>
      </w:rPr>
    </w:pPr>
    <w:r>
      <w:rPr>
        <w:rFonts w:eastAsia="Verdana" w:cs="Verdana" w:ascii="Verdana" w:hAnsi="Verdana"/>
        <w:sz w:val="16"/>
        <w:szCs w:val="16"/>
      </w:rPr>
      <w:t>Praça Vicente Glazar, 159 | Bairro Glória | São Gabriel da Palha-ES | CEP 29780 000</w:t>
    </w:r>
  </w:p>
  <w:p>
    <w:pPr>
      <w:pStyle w:val="Normal"/>
      <w:pBdr>
        <w:top w:val="single" w:sz="4" w:space="1" w:color="000000"/>
      </w:pBdr>
      <w:jc w:val="center"/>
      <w:rPr>
        <w:rFonts w:ascii="Verdana" w:hAnsi="Verdana" w:eastAsia="Verdana" w:cs="Verdana"/>
        <w:color w:val="0000FF"/>
        <w:sz w:val="16"/>
        <w:szCs w:val="16"/>
      </w:rPr>
    </w:pPr>
    <w:r>
      <w:rPr>
        <w:rFonts w:eastAsia="Verdana" w:cs="Verdana" w:ascii="Verdana" w:hAnsi="Verdana"/>
        <w:sz w:val="16"/>
        <w:szCs w:val="16"/>
      </w:rPr>
      <w:t>Fone 99574-4758| E-mail:</w:t>
    </w:r>
    <w:r>
      <w:rPr>
        <w:rFonts w:eastAsia="Verdana" w:cs="Verdana" w:ascii="Verdana" w:hAnsi="Verdana"/>
        <w:color w:val="0000FF"/>
        <w:sz w:val="16"/>
        <w:szCs w:val="16"/>
      </w:rPr>
      <w:t xml:space="preserve"> </w:t>
    </w:r>
    <w:hyperlink r:id="rId1">
      <w:r>
        <w:rPr>
          <w:rStyle w:val="Hyperlink"/>
          <w:rFonts w:eastAsia="Verdana" w:cs="Verdana" w:ascii="Verdana" w:hAnsi="Verdana"/>
          <w:sz w:val="16"/>
          <w:szCs w:val="16"/>
        </w:rPr>
        <w:t>semecsgp@gmail.com</w:t>
      </w:r>
    </w:hyperlink>
    <w:r>
      <w:rPr>
        <w:rFonts w:eastAsia="Verdana" w:cs="Verdana" w:ascii="Verdana" w:hAnsi="Verdana"/>
        <w:color w:val="0000FF"/>
        <w:sz w:val="16"/>
        <w:szCs w:val="16"/>
      </w:rPr>
      <w:t xml:space="preserve"> / financeirosemecsgp@gmail.com</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rPr>
        <w:rFonts w:eastAsia="Arial Narrow" w:cs="Arial Narrow" w:ascii="Arial Narrow" w:hAnsi="Arial Narrow"/>
        <w:b/>
        <w:sz w:val="22"/>
        <w:szCs w:val="22"/>
      </w:rPr>
      <w:drawing>
        <wp:anchor behindDoc="1" distT="0" distB="0" distL="152400" distR="120015" simplePos="0" locked="0" layoutInCell="0" allowOverlap="1" relativeHeight="5">
          <wp:simplePos x="0" y="0"/>
          <wp:positionH relativeFrom="column">
            <wp:posOffset>-165100</wp:posOffset>
          </wp:positionH>
          <wp:positionV relativeFrom="paragraph">
            <wp:posOffset>-22225</wp:posOffset>
          </wp:positionV>
          <wp:extent cx="644525" cy="542290"/>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rPr>
        <w:rFonts w:eastAsia="Arial Narrow" w:cs="Arial Narrow" w:ascii="Arial Narrow" w:hAnsi="Arial Narrow"/>
        <w:b/>
        <w:sz w:val="22"/>
        <w:szCs w:val="22"/>
      </w:rPr>
      <w:drawing>
        <wp:anchor behindDoc="1" distT="0" distB="0" distL="152400" distR="120015" simplePos="0" locked="0" layoutInCell="0" allowOverlap="1" relativeHeight="5">
          <wp:simplePos x="0" y="0"/>
          <wp:positionH relativeFrom="column">
            <wp:posOffset>-165100</wp:posOffset>
          </wp:positionH>
          <wp:positionV relativeFrom="paragraph">
            <wp:posOffset>-22225</wp:posOffset>
          </wp:positionV>
          <wp:extent cx="644525" cy="542290"/>
          <wp:effectExtent l="0" t="0" r="0" b="0"/>
          <wp:wrapSquare wrapText="bothSides"/>
          <wp:docPr id="2"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settings.xml><?xml version="1.0" encoding="utf-8"?>
<w:settings xmlns:w="http://schemas.openxmlformats.org/wordprocessingml/2006/main">
  <w:zoom w:percent="100"/>
  <w:displayBackgroundShape/>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uiPriority w:val="9"/>
    <w:qFormat/>
    <w:pPr>
      <w:keepNext w:val="true"/>
      <w:tabs>
        <w:tab w:val="clear" w:pos="720"/>
        <w:tab w:val="left" w:pos="0" w:leader="none"/>
      </w:tabs>
      <w:ind w:hanging="432" w:left="432"/>
      <w:jc w:val="center"/>
      <w:outlineLvl w:val="0"/>
    </w:pPr>
    <w:rPr>
      <w:b/>
      <w:sz w:val="24"/>
      <w:szCs w:val="24"/>
    </w:rPr>
  </w:style>
  <w:style w:type="paragraph" w:styleId="Heading2">
    <w:name w:val="Heading 2"/>
    <w:basedOn w:val="Normal"/>
    <w:next w:val="Normal"/>
    <w:uiPriority w:val="9"/>
    <w:semiHidden/>
    <w:unhideWhenUsed/>
    <w:qFormat/>
    <w:pPr>
      <w:keepNext w:val="true"/>
      <w:tabs>
        <w:tab w:val="clear" w:pos="720"/>
        <w:tab w:val="left" w:pos="0" w:leader="none"/>
      </w:tabs>
      <w:ind w:hanging="576" w:left="576"/>
      <w:outlineLvl w:val="1"/>
    </w:pPr>
    <w:rPr>
      <w:b/>
      <w:sz w:val="24"/>
      <w:szCs w:val="24"/>
      <w:u w:val="single"/>
    </w:rPr>
  </w:style>
  <w:style w:type="paragraph" w:styleId="Heading3">
    <w:name w:val="Heading 3"/>
    <w:basedOn w:val="Normal"/>
    <w:next w:val="Normal"/>
    <w:uiPriority w:val="9"/>
    <w:semiHidden/>
    <w:unhideWhenUsed/>
    <w:qFormat/>
    <w:pPr>
      <w:keepNext w:val="true"/>
      <w:jc w:val="both"/>
      <w:outlineLvl w:val="2"/>
    </w:pPr>
    <w:rPr>
      <w:b/>
      <w:color w:val="00000A"/>
    </w:rPr>
  </w:style>
  <w:style w:type="paragraph" w:styleId="Heading4">
    <w:name w:val="Heading 4"/>
    <w:basedOn w:val="Normal"/>
    <w:next w:val="Normal"/>
    <w:uiPriority w:val="9"/>
    <w:semiHidden/>
    <w:unhideWhenUsed/>
    <w:qFormat/>
    <w:pPr>
      <w:keepNext w:val="true"/>
      <w:tabs>
        <w:tab w:val="clear" w:pos="720"/>
        <w:tab w:val="left" w:pos="0" w:leader="none"/>
      </w:tabs>
      <w:ind w:hanging="864" w:left="864"/>
      <w:outlineLvl w:val="3"/>
    </w:pPr>
    <w:rPr>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sz w:val="22"/>
      <w:szCs w:val="22"/>
    </w:rPr>
  </w:style>
  <w:style w:type="paragraph" w:styleId="Heading6">
    <w:name w:val="Heading 6"/>
    <w:basedOn w:val="Normal"/>
    <w:next w:val="Normal"/>
    <w:uiPriority w:val="9"/>
    <w:semiHidden/>
    <w:unhideWhenUsed/>
    <w:qFormat/>
    <w:pPr>
      <w:keepNext w:val="true"/>
      <w:keepLines/>
      <w:spacing w:before="200" w:after="40"/>
      <w:outlineLvl w:val="5"/>
    </w:pPr>
    <w:rPr>
      <w:b/>
    </w:rPr>
  </w:style>
  <w:style w:type="paragraph" w:styleId="Heading8">
    <w:name w:val="Heading 8"/>
    <w:basedOn w:val="Normal"/>
    <w:next w:val="Normal"/>
    <w:qFormat/>
    <w:pPr>
      <w:tabs>
        <w:tab w:val="clear" w:pos="720"/>
        <w:tab w:val="left" w:pos="0" w:leader="none"/>
      </w:tabs>
      <w:spacing w:before="240" w:after="60"/>
      <w:ind w:hanging="1440" w:left="1440"/>
      <w:outlineLvl w:val="7"/>
    </w:pPr>
    <w:rPr>
      <w:i/>
      <w:iCs/>
      <w:sz w:val="24"/>
      <w:szCs w:val="24"/>
    </w:rPr>
  </w:style>
  <w:style w:type="character" w:styleId="DefaultParagraphFont" w:default="1">
    <w:name w:val="Default Paragraph Font"/>
    <w:uiPriority w:val="1"/>
    <w:unhideWhenUsed/>
    <w:qFormat/>
    <w:rPr/>
  </w:style>
  <w:style w:type="character" w:styleId="WW8Num1z0" w:customStyle="1">
    <w:name w:val="WW8Num1z0"/>
    <w:qFormat/>
    <w:rPr>
      <w:rFonts w:ascii="Symbol" w:hAnsi="Symbol" w:eastAsia="Times New Roman" w:cs="Times New Roman"/>
    </w:rPr>
  </w:style>
  <w:style w:type="character" w:styleId="WW8Num1z1" w:customStyle="1">
    <w:name w:val="WW8Num1z1"/>
    <w:qFormat/>
    <w:rPr>
      <w:rFonts w:ascii="Courier New" w:hAnsi="Courier New" w:cs="Courier New"/>
    </w:rPr>
  </w:style>
  <w:style w:type="character" w:styleId="WW8Num1z2" w:customStyle="1">
    <w:name w:val="WW8Num1z2"/>
    <w:qFormat/>
    <w:rPr/>
  </w:style>
  <w:style w:type="character" w:styleId="WW8Num1z3" w:customStyle="1">
    <w:name w:val="WW8Num1z3"/>
    <w:qFormat/>
    <w:rPr>
      <w:rFonts w:ascii="Symbol" w:hAnsi="Symbol" w:cs="Symbol"/>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2z0" w:customStyle="1">
    <w:name w:val="WW8Num2z0"/>
    <w:qFormat/>
    <w:rPr>
      <w:rFonts w:ascii="Times New Roman" w:hAnsi="Times New Roman" w:cs="Times New Roman"/>
      <w:b/>
      <w:sz w:val="24"/>
    </w:rPr>
  </w:style>
  <w:style w:type="character" w:styleId="WW8Num2z1" w:customStyle="1">
    <w:name w:val="WW8Num2z1"/>
    <w:qFormat/>
    <w:rPr>
      <w:rFonts w:ascii="Times New Roman" w:hAnsi="Times New Roman" w:cs="Times New Roman"/>
      <w:b w:val="false"/>
      <w:sz w:val="24"/>
    </w:rPr>
  </w:style>
  <w:style w:type="character" w:styleId="WW8Num3z0" w:customStyle="1">
    <w:name w:val="WW8Num3z0"/>
    <w:qFormat/>
    <w:rPr>
      <w:vanish/>
    </w:rPr>
  </w:style>
  <w:style w:type="character" w:styleId="Fontepargpadro3" w:customStyle="1">
    <w:name w:val="Fonte parág. padrão3"/>
    <w:qFormat/>
    <w:rPr/>
  </w:style>
  <w:style w:type="character" w:styleId="Fontepargpadro2" w:customStyle="1">
    <w:name w:val="Fonte parág. padrão2"/>
    <w:qFormat/>
    <w:rPr/>
  </w:style>
  <w:style w:type="character" w:styleId="WW8Num4z0" w:customStyle="1">
    <w:name w:val="WW8Num4z0"/>
    <w:qFormat/>
    <w:rPr>
      <w:b/>
    </w:rPr>
  </w:style>
  <w:style w:type="character" w:styleId="WW8Num4z1" w:customStyle="1">
    <w:name w:val="WW8Num4z1"/>
    <w:qFormat/>
    <w:rPr/>
  </w:style>
  <w:style w:type="character" w:styleId="WW8Num4z2" w:customStyle="1">
    <w:name w:val="WW8Num4z2"/>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0" w:customStyle="1">
    <w:name w:val="WW8Num5z0"/>
    <w:qFormat/>
    <w:rPr/>
  </w:style>
  <w:style w:type="character" w:styleId="WW8Num5z1" w:customStyle="1">
    <w:name w:val="WW8Num5z1"/>
    <w:qFormat/>
    <w:rPr>
      <w:color w:val="auto"/>
      <w:sz w:val="24"/>
      <w:szCs w:val="24"/>
    </w:rPr>
  </w:style>
  <w:style w:type="character" w:styleId="Fontepargpadro1" w:customStyle="1">
    <w:name w:val="Fonte parág. padrão1"/>
    <w:qFormat/>
    <w:rPr/>
  </w:style>
  <w:style w:type="character" w:styleId="CabealhoChar" w:customStyle="1">
    <w:name w:val="Cabeçalho Char"/>
    <w:qFormat/>
    <w:rPr>
      <w:sz w:val="24"/>
    </w:rPr>
  </w:style>
  <w:style w:type="character" w:styleId="RodapChar" w:customStyle="1">
    <w:name w:val="Rodapé Char"/>
    <w:qFormat/>
    <w:rPr>
      <w:sz w:val="24"/>
    </w:rPr>
  </w:style>
  <w:style w:type="character" w:styleId="PageNumber">
    <w:name w:val="Page Number"/>
    <w:basedOn w:val="Fontepargpadro1"/>
    <w:rPr/>
  </w:style>
  <w:style w:type="character" w:styleId="Hyperlink">
    <w:name w:val="Hyperlink"/>
    <w:rPr>
      <w:color w:val="0000FF"/>
      <w:u w:val="single"/>
    </w:rPr>
  </w:style>
  <w:style w:type="character" w:styleId="Caracteresdenotaderodap" w:customStyle="1">
    <w:name w:val="Caracteres de nota de rodapé"/>
    <w:qFormat/>
    <w:rPr>
      <w:vertAlign w:val="superscript"/>
    </w:rPr>
  </w:style>
  <w:style w:type="character" w:styleId="Corpodetexto3Char" w:customStyle="1">
    <w:name w:val="Corpo de texto 3 Char"/>
    <w:qFormat/>
    <w:rPr>
      <w:sz w:val="16"/>
      <w:szCs w:val="16"/>
    </w:rPr>
  </w:style>
  <w:style w:type="character" w:styleId="Corpodetexto2Char" w:customStyle="1">
    <w:name w:val="Corpo de texto 2 Char"/>
    <w:basedOn w:val="Fontepargpadro1"/>
    <w:qFormat/>
    <w:rPr/>
  </w:style>
  <w:style w:type="character" w:styleId="TextodebaloChar" w:customStyle="1">
    <w:name w:val="Texto de balão Char"/>
    <w:qFormat/>
    <w:rPr>
      <w:rFonts w:ascii="Tahoma" w:hAnsi="Tahoma" w:cs="Tahoma"/>
      <w:sz w:val="16"/>
      <w:szCs w:val="16"/>
    </w:rPr>
  </w:style>
  <w:style w:type="character" w:styleId="Smbolosdenumerao" w:customStyle="1">
    <w:name w:val="Símbolos de numeração"/>
    <w:qFormat/>
    <w:rPr/>
  </w:style>
  <w:style w:type="character" w:styleId="Ttulo3Char" w:customStyle="1">
    <w:name w:val="Título 3 Char"/>
    <w:qFormat/>
    <w:rPr>
      <w:b/>
      <w:color w:val="00000A"/>
    </w:rPr>
  </w:style>
  <w:style w:type="character" w:styleId="Recuodecorpodetexto3Char" w:customStyle="1">
    <w:name w:val="Recuo de corpo de texto 3 Char"/>
    <w:qFormat/>
    <w:rPr>
      <w:sz w:val="16"/>
      <w:szCs w:val="16"/>
    </w:rPr>
  </w:style>
  <w:style w:type="character" w:styleId="Ttulo8Char" w:customStyle="1">
    <w:name w:val="Título 8 Char"/>
    <w:qFormat/>
    <w:rPr>
      <w:i/>
      <w:iCs/>
      <w:sz w:val="24"/>
      <w:szCs w:val="24"/>
      <w:lang w:eastAsia="zh-CN"/>
    </w:rPr>
  </w:style>
  <w:style w:type="character" w:styleId="TtuloChar" w:customStyle="1">
    <w:name w:val="Título Char"/>
    <w:qFormat/>
    <w:rPr>
      <w:rFonts w:ascii="Liberation Sans" w:hAnsi="Liberation Sans" w:eastAsia="Microsoft YaHei" w:cs="Lucida Sans"/>
      <w:color w:val="00000A"/>
      <w:sz w:val="28"/>
      <w:szCs w:val="28"/>
    </w:rPr>
  </w:style>
  <w:style w:type="character" w:styleId="Recuodecorpodetexto3Char1" w:customStyle="1">
    <w:name w:val="Recuo de corpo de texto 3 Char1"/>
    <w:qFormat/>
    <w:rPr>
      <w:sz w:val="16"/>
      <w:szCs w:val="16"/>
      <w:lang w:eastAsia="zh-CN"/>
    </w:rPr>
  </w:style>
  <w:style w:type="character" w:styleId="Ttulo1Char" w:customStyle="1">
    <w:name w:val="Título 1 Char"/>
    <w:qFormat/>
    <w:rPr>
      <w:b/>
      <w:bCs/>
      <w:sz w:val="24"/>
      <w:lang w:eastAsia="zh-CN"/>
    </w:rPr>
  </w:style>
  <w:style w:type="character" w:styleId="Ttulo2Char" w:customStyle="1">
    <w:name w:val="Título 2 Char"/>
    <w:qFormat/>
    <w:rPr>
      <w:b/>
      <w:bCs/>
      <w:sz w:val="24"/>
      <w:u w:val="single"/>
      <w:lang w:eastAsia="zh-CN"/>
    </w:rPr>
  </w:style>
  <w:style w:type="character" w:styleId="Ttulo4Char" w:customStyle="1">
    <w:name w:val="Título 4 Char"/>
    <w:qFormat/>
    <w:rPr>
      <w:sz w:val="24"/>
      <w:lang w:eastAsia="zh-CN"/>
    </w:rPr>
  </w:style>
  <w:style w:type="character" w:styleId="CorpodetextoChar" w:customStyle="1">
    <w:name w:val="Corpo de texto Char"/>
    <w:qFormat/>
    <w:rPr>
      <w:lang w:eastAsia="zh-CN"/>
    </w:rPr>
  </w:style>
  <w:style w:type="character" w:styleId="CabealhoChar1" w:customStyle="1">
    <w:name w:val="Cabeçalho Char1"/>
    <w:qFormat/>
    <w:rPr>
      <w:sz w:val="24"/>
      <w:lang w:eastAsia="zh-CN"/>
    </w:rPr>
  </w:style>
  <w:style w:type="character" w:styleId="RodapChar1" w:customStyle="1">
    <w:name w:val="Rodapé Char1"/>
    <w:qFormat/>
    <w:rPr>
      <w:sz w:val="24"/>
      <w:lang w:eastAsia="zh-CN"/>
    </w:rPr>
  </w:style>
  <w:style w:type="character" w:styleId="TextodebaloChar1" w:customStyle="1">
    <w:name w:val="Texto de balão Char1"/>
    <w:qFormat/>
    <w:rPr>
      <w:rFonts w:ascii="Tahoma" w:hAnsi="Tahoma" w:cs="Tahoma"/>
      <w:sz w:val="16"/>
      <w:szCs w:val="16"/>
      <w:lang w:eastAsia="zh-CN"/>
    </w:rPr>
  </w:style>
  <w:style w:type="character" w:styleId="TextodenotaderodapChar" w:customStyle="1">
    <w:name w:val="Texto de nota de rodapé Char"/>
    <w:qFormat/>
    <w:rPr>
      <w:lang w:eastAsia="zh-CN"/>
    </w:rPr>
  </w:style>
  <w:style w:type="character" w:styleId="TtuloChar1" w:customStyle="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customStyle="1">
    <w:name w:val="Footnote Characters"/>
    <w:basedOn w:val="DefaultParagraphFont"/>
    <w:qFormat/>
    <w:rPr>
      <w:vertAlign w:val="superscript"/>
    </w:rPr>
  </w:style>
  <w:style w:type="character" w:styleId="LineNumber">
    <w:name w:val="Line Number"/>
    <w:rPr/>
  </w:style>
  <w:style w:type="character" w:styleId="WW8Num3z1" w:customStyle="1">
    <w:name w:val="WW8Num3z1"/>
    <w:qFormat/>
    <w:rPr>
      <w:rFonts w:ascii="OpenSymbol;Arial Unicode MS" w:hAnsi="OpenSymbol;Arial Unicode MS" w:cs="Courier New"/>
    </w:rPr>
  </w:style>
  <w:style w:type="character" w:styleId="UnresolvedMention">
    <w:name w:val="Unresolved Mention"/>
    <w:basedOn w:val="DefaultParagraphFont"/>
    <w:uiPriority w:val="99"/>
    <w:semiHidden/>
    <w:unhideWhenUsed/>
    <w:qFormat/>
    <w:rsid w:val="00983bf0"/>
    <w:rPr>
      <w:color w:val="605E5C"/>
      <w:shd w:fill="E1DFDD" w:val="clear"/>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customStyle="1">
    <w:name w:val="Índice"/>
    <w:basedOn w:val="Normal"/>
    <w:qFormat/>
    <w:pPr>
      <w:suppressLineNumbers/>
    </w:pPr>
    <w:rPr>
      <w:rFonts w:cs="Lucida Sans"/>
    </w:rPr>
  </w:style>
  <w:style w:type="paragraph" w:styleId="Title">
    <w:name w:val="Title"/>
    <w:basedOn w:val="Normal"/>
    <w:next w:val="BodyText"/>
    <w:uiPriority w:val="10"/>
    <w:qFormat/>
    <w:pPr>
      <w:keepNext w:val="true"/>
      <w:spacing w:before="240" w:after="120"/>
    </w:pPr>
    <w:rPr>
      <w:rFonts w:ascii="Liberation Sans" w:hAnsi="Liberation Sans" w:eastAsia="Microsoft YaHei" w:cs="Arial"/>
      <w:sz w:val="28"/>
      <w:szCs w:val="28"/>
    </w:rPr>
  </w:style>
  <w:style w:type="paragraph" w:styleId="Ttulo3" w:customStyle="1">
    <w:name w:val="Título3"/>
    <w:basedOn w:val="Normal"/>
    <w:next w:val="BodyText"/>
    <w:qFormat/>
    <w:pPr>
      <w:keepNext w:val="true"/>
      <w:spacing w:before="240" w:after="120"/>
    </w:pPr>
    <w:rPr>
      <w:rFonts w:ascii="Liberation Sans" w:hAnsi="Liberation Sans" w:eastAsia="Microsoft YaHei" w:cs="Lucida Sans"/>
      <w:color w:val="00000A"/>
      <w:sz w:val="28"/>
      <w:szCs w:val="28"/>
    </w:rPr>
  </w:style>
  <w:style w:type="paragraph" w:styleId="Ttulo2" w:customStyle="1">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customStyle="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customStyle="1">
    <w:name w:val="Legenda1"/>
    <w:basedOn w:val="Normal"/>
    <w:qFormat/>
    <w:pPr>
      <w:suppressLineNumbers/>
      <w:spacing w:before="120" w:after="120"/>
    </w:pPr>
    <w:rPr>
      <w:rFonts w:cs="Lucida Sans"/>
      <w:i/>
      <w:iCs/>
      <w:sz w:val="24"/>
      <w:szCs w:val="24"/>
    </w:rPr>
  </w:style>
  <w:style w:type="paragraph" w:styleId="CabealhoeRodap" w:customStyle="1">
    <w:name w:val="Cabeçalho e Rodapé"/>
    <w:basedOn w:val="Normal"/>
    <w:qFormat/>
    <w:pPr/>
    <w:rPr/>
  </w:style>
  <w:style w:type="paragraph" w:styleId="Cabealhoerodap1">
    <w:name w:val="Cabeçalho e rodapé1"/>
    <w:basedOn w:val="Normal"/>
    <w:qFormat/>
    <w:pPr/>
    <w:rPr/>
  </w:style>
  <w:style w:type="paragraph" w:styleId="Header">
    <w:name w:val="Header"/>
    <w:basedOn w:val="Normal"/>
    <w:pPr>
      <w:tabs>
        <w:tab w:val="clear" w:pos="720"/>
        <w:tab w:val="center" w:pos="4419" w:leader="none"/>
        <w:tab w:val="right" w:pos="8838" w:leader="none"/>
      </w:tabs>
      <w:overflowPunct w:val="true"/>
      <w:textAlignment w:val="baseline"/>
    </w:pPr>
    <w:rPr>
      <w:sz w:val="24"/>
    </w:rPr>
  </w:style>
  <w:style w:type="paragraph" w:styleId="Footer">
    <w:name w:val="Footer"/>
    <w:basedOn w:val="Normal"/>
    <w:pPr>
      <w:tabs>
        <w:tab w:val="clear" w:pos="720"/>
        <w:tab w:val="center" w:pos="4419" w:leader="none"/>
        <w:tab w:val="right" w:pos="8838" w:leader="none"/>
      </w:tabs>
      <w:overflowPunct w:val="tru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qFormat/>
    <w:pPr>
      <w:spacing w:lineRule="auto" w:line="276" w:before="0" w:after="200"/>
      <w:ind w:left="720"/>
    </w:pPr>
    <w:rPr>
      <w:rFonts w:ascii="Calibri" w:hAnsi="Calibri" w:eastAsia="Calibri" w:cs="Calibri"/>
      <w:sz w:val="22"/>
      <w:szCs w:val="22"/>
    </w:rPr>
  </w:style>
  <w:style w:type="paragraph" w:styleId="Default" w:customStyle="1">
    <w:name w:val="Default"/>
    <w:qFormat/>
    <w:pPr>
      <w:widowControl/>
      <w:suppressAutoHyphens w:val="true"/>
      <w:bidi w:val="0"/>
      <w:spacing w:before="0" w:after="0"/>
      <w:jc w:val="left"/>
    </w:pPr>
    <w:rPr>
      <w:rFonts w:ascii="Times New Roman" w:hAnsi="Times New Roman" w:eastAsia="Times New Roman" w:cs="Times New Roman"/>
      <w:color w:val="000000"/>
      <w:kern w:val="0"/>
      <w:sz w:val="24"/>
      <w:szCs w:val="24"/>
      <w:lang w:eastAsia="zh-CN" w:val="pt-BR" w:bidi="ar-SA"/>
    </w:rPr>
  </w:style>
  <w:style w:type="paragraph" w:styleId="Corpodetexto31" w:customStyle="1">
    <w:name w:val="Corpo de texto 31"/>
    <w:basedOn w:val="Normal"/>
    <w:qFormat/>
    <w:pPr>
      <w:spacing w:before="0" w:after="120"/>
    </w:pPr>
    <w:rPr>
      <w:sz w:val="16"/>
      <w:szCs w:val="16"/>
    </w:rPr>
  </w:style>
  <w:style w:type="paragraph" w:styleId="Corpodetexto21" w:customStyle="1">
    <w:name w:val="Corpo de texto 21"/>
    <w:basedOn w:val="Normal"/>
    <w:qFormat/>
    <w:pPr>
      <w:spacing w:lineRule="auto" w:line="480" w:before="0" w:after="120"/>
    </w:pPr>
    <w:rPr/>
  </w:style>
  <w:style w:type="paragraph" w:styleId="xl61" w:customStyle="1">
    <w:name w:val="xl61"/>
    <w:basedOn w:val="Default"/>
    <w:next w:val="Default"/>
    <w:qFormat/>
    <w:pPr>
      <w:spacing w:before="280" w:after="280"/>
    </w:pPr>
    <w:rPr>
      <w:rFonts w:ascii="IPMDOI+TimesNewRoman" w:hAnsi="IPMDOI+TimesNewRoman" w:cs="IPMDOI+TimesNewRoman"/>
      <w:color w:val="auto"/>
    </w:rPr>
  </w:style>
  <w:style w:type="paragraph" w:styleId="WW-Padro" w:customStyle="1">
    <w:name w:val="WW-Padrão"/>
    <w:basedOn w:val="Default"/>
    <w:next w:val="Default"/>
    <w:qFormat/>
    <w:pPr/>
    <w:rPr>
      <w:rFonts w:ascii="IPMDOI+TimesNewRoman" w:hAnsi="IPMDOI+TimesNewRoman" w:cs="IPMDOI+TimesNewRoman"/>
      <w:color w:val="auto"/>
    </w:rPr>
  </w:style>
  <w:style w:type="paragraph" w:styleId="Contedodetabela" w:customStyle="1">
    <w:name w:val="Conteúdo de tabela"/>
    <w:basedOn w:val="Normal"/>
    <w:qFormat/>
    <w:pPr>
      <w:suppressLineNumbers/>
    </w:pPr>
    <w:rPr/>
  </w:style>
  <w:style w:type="paragraph" w:styleId="Contedodatabela" w:customStyle="1">
    <w:name w:val="Conteúdo da tabela"/>
    <w:basedOn w:val="Normal"/>
    <w:qFormat/>
    <w:pPr>
      <w:suppressLineNumbers/>
    </w:pPr>
    <w:rPr/>
  </w:style>
  <w:style w:type="paragraph" w:styleId="Ttulodetabela" w:customStyle="1">
    <w:name w:val="Título de tabela"/>
    <w:basedOn w:val="Contedodetabela"/>
    <w:qFormat/>
    <w:pPr>
      <w:jc w:val="center"/>
    </w:pPr>
    <w:rPr>
      <w:b/>
      <w:bCs/>
    </w:rPr>
  </w:style>
  <w:style w:type="paragraph" w:styleId="Recuodecorpodetexto31" w:customStyle="1">
    <w:name w:val="Recuo de corpo de texto 31"/>
    <w:basedOn w:val="Normal"/>
    <w:qFormat/>
    <w:pPr>
      <w:spacing w:before="0" w:after="120"/>
      <w:ind w:left="283"/>
    </w:pPr>
    <w:rPr>
      <w:sz w:val="16"/>
      <w:szCs w:val="16"/>
    </w:rPr>
  </w:style>
  <w:style w:type="paragraph" w:styleId="WW-Textosimples" w:customStyle="1">
    <w:name w:val="WW-Texto simples"/>
    <w:basedOn w:val="Normal"/>
    <w:qFormat/>
    <w:pPr/>
    <w:rPr>
      <w:rFonts w:ascii="Courier New" w:hAnsi="Courier New" w:cs="Courier New"/>
      <w:color w:val="00000A"/>
    </w:rPr>
  </w:style>
  <w:style w:type="paragraph" w:styleId="Normal0" w:customStyle="1">
    <w:name w:val="Normal_0"/>
    <w:qFormat/>
    <w:pPr>
      <w:widowControl/>
      <w:tabs>
        <w:tab w:val="clear" w:pos="720"/>
        <w:tab w:val="left" w:pos="1418" w:leader="none"/>
        <w:tab w:val="left" w:pos="1985" w:leader="none"/>
        <w:tab w:val="left" w:pos="2552" w:leader="none"/>
        <w:tab w:val="left" w:pos="3402" w:leader="none"/>
        <w:tab w:val="left" w:pos="4253" w:leader="none"/>
        <w:tab w:val="left" w:pos="4820" w:leader="none"/>
      </w:tabs>
      <w:suppressAutoHyphens w:val="true"/>
      <w:bidi w:val="0"/>
      <w:spacing w:before="0" w:after="0"/>
      <w:jc w:val="both"/>
    </w:pPr>
    <w:rPr>
      <w:rFonts w:ascii="Times New Roman" w:hAnsi="Times New Roman" w:eastAsia="Times New Roman" w:cs="Times New Roman"/>
      <w:color w:val="auto"/>
      <w:kern w:val="0"/>
      <w:sz w:val="24"/>
      <w:szCs w:val="22"/>
      <w:lang w:eastAsia="en-US" w:val="pt-BR" w:bidi="ar-SA"/>
    </w:rPr>
  </w:style>
  <w:style w:type="paragraph" w:styleId="Indentado0" w:customStyle="1">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customStyle="1">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customStyle="1">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dro" w:customStyle="1">
    <w:name w:val="Padrão"/>
    <w:qFormat/>
    <w:pPr>
      <w:widowControl/>
      <w:tabs>
        <w:tab w:val="clear" w:pos="720"/>
        <w:tab w:val="left" w:pos="708" w:leader="none"/>
      </w:tabs>
      <w:suppressAutoHyphens w:val="true"/>
      <w:bidi w:val="0"/>
      <w:spacing w:lineRule="auto" w:line="276" w:before="0" w:after="200"/>
      <w:jc w:val="left"/>
    </w:pPr>
    <w:rPr>
      <w:rFonts w:eastAsia="SimSun;宋体" w:cs="Mangal" w:ascii="Times New Roman" w:hAnsi="Times New Roman"/>
      <w:color w:val="auto"/>
      <w:kern w:val="2"/>
      <w:sz w:val="24"/>
      <w:szCs w:val="24"/>
      <w:lang w:eastAsia="zh-CN" w:bidi="hi-IN" w:val="pt-BR"/>
    </w:rPr>
  </w:style>
  <w:style w:type="paragraph" w:styleId="LO-Normal" w:customStyle="1">
    <w:name w:val="LO-Normal"/>
    <w:qFormat/>
    <w:pPr>
      <w:widowControl w:val="false"/>
      <w:suppressAutoHyphens w:val="true"/>
      <w:bidi w:val="0"/>
      <w:spacing w:before="0" w:after="0"/>
      <w:jc w:val="left"/>
    </w:pPr>
    <w:rPr>
      <w:rFonts w:ascii="Liberation Serif;Times New Roma" w:hAnsi="Liberation Serif;Times New Roma" w:eastAsia="SimSun" w:cs="Mangal"/>
      <w:color w:val="auto"/>
      <w:kern w:val="2"/>
      <w:sz w:val="24"/>
      <w:szCs w:val="24"/>
      <w:lang w:eastAsia="zh-CN" w:bidi="hi-IN" w:val="pt-BR"/>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numbering" w:styleId="Semlista" w:default="1">
    <w:name w:val="Sem lista"/>
    <w:uiPriority w:val="99"/>
    <w:semiHidden/>
    <w:unhideWhenUsed/>
    <w:qFormat/>
  </w:style>
  <w:style w:type="numbering" w:styleId="WW8Num3" w:customStyle="1">
    <w:name w:val="WW8Num3"/>
    <w:qFormat/>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pncp.gov.br/app/editais/18650945000114/2026/23"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Relationship Id="rId31" Type="http://schemas.openxmlformats.org/officeDocument/2006/relationships/font" Target="fonts/font31.odttf"/>
</Relationships>
</file>

<file path=word/_rels/footer2.xml.rels><?xml version="1.0" encoding="UTF-8"?>
<Relationships xmlns="http://schemas.openxmlformats.org/package/2006/relationships"><Relationship Id="rId1" Type="http://schemas.openxmlformats.org/officeDocument/2006/relationships/hyperlink" Target="mailto:semecsgp@gmail.com" TargetMode="External"/>
</Relationships>
</file>

<file path=word/_rels/footer3.xml.rels><?xml version="1.0" encoding="UTF-8"?>
<Relationships xmlns="http://schemas.openxmlformats.org/package/2006/relationships"><Relationship Id="rId1" Type="http://schemas.openxmlformats.org/officeDocument/2006/relationships/hyperlink" Target="mailto:semecsgp@gmail.com" TargetMode="External"/>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TKCcwxR2oA/E4BxR4Bt1z8Hsgxw==">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175</TotalTime>
  <Application>LibreOffice/24.2.7.2$Windows_X86_64 LibreOffice_project/ee3885777aa7032db5a9b65deec9457448a91162</Application>
  <AppVersion>15.0000</AppVersion>
  <Pages>4</Pages>
  <Words>1372</Words>
  <Characters>7986</Characters>
  <CharactersWithSpaces>9279</CharactersWithSpaces>
  <Paragraphs>98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PMSGP</dc:creator>
  <dc:description/>
  <dc:language>pt-BR</dc:language>
  <cp:lastModifiedBy/>
  <dcterms:modified xsi:type="dcterms:W3CDTF">2026-07-23T16:09:33Z</dcterms:modified>
  <cp:revision>37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